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DBED0" w14:textId="55427991" w:rsidR="003C5DEE" w:rsidRPr="003C5DEE" w:rsidRDefault="003C5DEE" w:rsidP="003C5DEE">
      <w:pPr>
        <w:rPr>
          <w:rFonts w:ascii="Arial" w:eastAsiaTheme="minorEastAsia" w:hAnsi="Arial" w:cs="Arial"/>
          <w:b/>
          <w:sz w:val="28"/>
          <w:szCs w:val="28"/>
        </w:rPr>
      </w:pPr>
      <w:bookmarkStart w:id="0" w:name="_Hlk507577980"/>
      <w:bookmarkEnd w:id="0"/>
      <w:r w:rsidRPr="003C5DEE">
        <w:rPr>
          <w:rFonts w:ascii="Arial" w:eastAsiaTheme="minorEastAsia" w:hAnsi="Arial" w:cs="Arial"/>
          <w:b/>
          <w:sz w:val="28"/>
          <w:szCs w:val="28"/>
        </w:rPr>
        <w:t>Trends in the delivery of ESCAYP services: 2010-201</w:t>
      </w:r>
      <w:r w:rsidR="0099334B">
        <w:rPr>
          <w:rFonts w:ascii="Arial" w:eastAsiaTheme="minorEastAsia" w:hAnsi="Arial" w:cs="Arial"/>
          <w:b/>
          <w:sz w:val="28"/>
          <w:szCs w:val="28"/>
        </w:rPr>
        <w:t>8</w:t>
      </w:r>
    </w:p>
    <w:p w14:paraId="25EDDED2" w14:textId="77777777" w:rsidR="003C5DEE" w:rsidRPr="003C5DEE" w:rsidRDefault="003C5DEE" w:rsidP="003C5DEE">
      <w:pPr>
        <w:rPr>
          <w:rFonts w:ascii="Arial" w:eastAsiaTheme="minorEastAsia" w:hAnsi="Arial" w:cs="Arial"/>
          <w:b/>
          <w:sz w:val="28"/>
          <w:szCs w:val="28"/>
        </w:rPr>
      </w:pPr>
      <w:r w:rsidRPr="003C5DEE">
        <w:rPr>
          <w:rFonts w:ascii="Arial" w:eastAsiaTheme="minorEastAsia" w:hAnsi="Arial" w:cs="Arial"/>
          <w:b/>
          <w:sz w:val="28"/>
          <w:szCs w:val="28"/>
        </w:rPr>
        <w:t>Update and further data exploration</w:t>
      </w:r>
    </w:p>
    <w:p w14:paraId="3189ED0A" w14:textId="77777777" w:rsidR="003C5DEE" w:rsidRPr="003C5DEE" w:rsidRDefault="003C5DEE" w:rsidP="003C5DEE">
      <w:pPr>
        <w:rPr>
          <w:rFonts w:ascii="Arial" w:eastAsiaTheme="minorEastAsia" w:hAnsi="Arial" w:cs="Arial"/>
          <w:b/>
          <w:sz w:val="24"/>
          <w:szCs w:val="24"/>
        </w:rPr>
      </w:pPr>
    </w:p>
    <w:p w14:paraId="13576ECE" w14:textId="4215BA87" w:rsidR="003C5DEE" w:rsidRPr="003C5DEE" w:rsidRDefault="003C5DEE" w:rsidP="003C5DEE">
      <w:pPr>
        <w:numPr>
          <w:ilvl w:val="0"/>
          <w:numId w:val="1"/>
        </w:numPr>
        <w:contextualSpacing/>
        <w:rPr>
          <w:rFonts w:ascii="Arial" w:eastAsiaTheme="minorEastAsia" w:hAnsi="Arial" w:cs="Arial"/>
          <w:b/>
          <w:sz w:val="24"/>
          <w:szCs w:val="24"/>
        </w:rPr>
      </w:pPr>
      <w:r w:rsidRPr="003C5DEE">
        <w:rPr>
          <w:rFonts w:ascii="Arial" w:eastAsiaTheme="minorEastAsia" w:hAnsi="Arial" w:cs="Arial"/>
          <w:b/>
          <w:sz w:val="24"/>
          <w:szCs w:val="24"/>
        </w:rPr>
        <w:t>Introduction</w:t>
      </w:r>
    </w:p>
    <w:p w14:paraId="3ECD7E3C" w14:textId="05EC4101" w:rsidR="003C5DEE" w:rsidRPr="003C5DEE" w:rsidRDefault="0099334B" w:rsidP="003C5DEE">
      <w:pPr>
        <w:rPr>
          <w:rFonts w:ascii="Arial" w:eastAsiaTheme="minorEastAsia" w:hAnsi="Arial" w:cs="Arial"/>
          <w:b/>
          <w:sz w:val="24"/>
          <w:szCs w:val="24"/>
        </w:rPr>
      </w:pPr>
      <w:r>
        <w:rPr>
          <w:rFonts w:ascii="Arial" w:eastAsiaTheme="minorEastAsia" w:hAnsi="Arial" w:cs="Arial"/>
          <w:sz w:val="24"/>
          <w:szCs w:val="24"/>
        </w:rPr>
        <w:t>Report 13 explored trend data in greater detail.  Inevitably, this raised further questions, and this interim report updates the earlier figures for 2017, includes nine months of data from 2018, and examines some of the issues raised.</w:t>
      </w:r>
      <w:r w:rsidR="003C5DEE" w:rsidRPr="003C5DEE">
        <w:rPr>
          <w:rFonts w:ascii="Arial" w:eastAsiaTheme="minorEastAsia" w:hAnsi="Arial" w:cs="Arial"/>
          <w:sz w:val="24"/>
          <w:szCs w:val="24"/>
        </w:rPr>
        <w:br/>
      </w:r>
    </w:p>
    <w:p w14:paraId="389E3967" w14:textId="00CD74A8" w:rsidR="003C5DEE" w:rsidRPr="003C5DEE" w:rsidRDefault="003C5DEE" w:rsidP="003C5DEE">
      <w:pPr>
        <w:numPr>
          <w:ilvl w:val="0"/>
          <w:numId w:val="1"/>
        </w:numPr>
        <w:contextualSpacing/>
        <w:rPr>
          <w:rFonts w:ascii="Arial" w:eastAsiaTheme="minorEastAsia" w:hAnsi="Arial" w:cs="Arial"/>
          <w:b/>
          <w:sz w:val="24"/>
          <w:szCs w:val="24"/>
        </w:rPr>
      </w:pPr>
      <w:r w:rsidRPr="003C5DEE">
        <w:rPr>
          <w:rFonts w:ascii="Arial" w:eastAsiaTheme="minorEastAsia" w:hAnsi="Arial" w:cs="Arial"/>
          <w:b/>
          <w:sz w:val="24"/>
          <w:szCs w:val="24"/>
        </w:rPr>
        <w:t>Throughput</w:t>
      </w:r>
    </w:p>
    <w:p w14:paraId="290CFCC3" w14:textId="7B03AB7A" w:rsidR="003C5DEE" w:rsidRPr="003C5DEE" w:rsidRDefault="003C5DEE" w:rsidP="003C5DEE">
      <w:pPr>
        <w:contextualSpacing/>
        <w:rPr>
          <w:rFonts w:ascii="Arial" w:eastAsiaTheme="minorEastAsia" w:hAnsi="Arial" w:cs="Arial"/>
          <w:sz w:val="24"/>
          <w:szCs w:val="24"/>
        </w:rPr>
      </w:pPr>
      <w:r w:rsidRPr="003C5DEE">
        <w:rPr>
          <w:rFonts w:ascii="Arial" w:eastAsiaTheme="minorEastAsia" w:hAnsi="Arial" w:cs="Arial"/>
          <w:sz w:val="24"/>
          <w:szCs w:val="24"/>
        </w:rPr>
        <w:t>Chart 1 illustrates the growth in numbers of referrals, and subsequent starts and endings. The updated 2017 figures still indicate a fall from the high numbers of referrals and starts seen in 2016</w:t>
      </w:r>
      <w:r w:rsidR="0099334B">
        <w:rPr>
          <w:rFonts w:ascii="Arial" w:eastAsiaTheme="minorEastAsia" w:hAnsi="Arial" w:cs="Arial"/>
          <w:sz w:val="24"/>
          <w:szCs w:val="24"/>
        </w:rPr>
        <w:t>; however</w:t>
      </w:r>
      <w:r w:rsidR="00167EEC">
        <w:rPr>
          <w:rFonts w:ascii="Arial" w:eastAsiaTheme="minorEastAsia" w:hAnsi="Arial" w:cs="Arial"/>
          <w:sz w:val="24"/>
          <w:szCs w:val="24"/>
        </w:rPr>
        <w:t>,</w:t>
      </w:r>
      <w:r w:rsidR="0099334B">
        <w:rPr>
          <w:rFonts w:ascii="Arial" w:eastAsiaTheme="minorEastAsia" w:hAnsi="Arial" w:cs="Arial"/>
          <w:sz w:val="24"/>
          <w:szCs w:val="24"/>
        </w:rPr>
        <w:t xml:space="preserve"> the addition of only 9 months’ data from 2018 shows an upturn: if referrals and starts are spread evenly throughout the year, referrals for 2018 will reach just under 600, and starts approximately 430.  The trend-line for endings is misleading: the downturn reflects better reco</w:t>
      </w:r>
      <w:r w:rsidR="00167EEC">
        <w:rPr>
          <w:rFonts w:ascii="Arial" w:eastAsiaTheme="minorEastAsia" w:hAnsi="Arial" w:cs="Arial"/>
          <w:sz w:val="24"/>
          <w:szCs w:val="24"/>
        </w:rPr>
        <w:t>r</w:t>
      </w:r>
      <w:r w:rsidR="0099334B">
        <w:rPr>
          <w:rFonts w:ascii="Arial" w:eastAsiaTheme="minorEastAsia" w:hAnsi="Arial" w:cs="Arial"/>
          <w:sz w:val="24"/>
          <w:szCs w:val="24"/>
        </w:rPr>
        <w:t>ding</w:t>
      </w:r>
      <w:r w:rsidR="00167EEC">
        <w:rPr>
          <w:rFonts w:ascii="Arial" w:eastAsiaTheme="minorEastAsia" w:hAnsi="Arial" w:cs="Arial"/>
          <w:sz w:val="24"/>
          <w:szCs w:val="24"/>
        </w:rPr>
        <w:t xml:space="preserve"> practice and the time-lag between start and end of counselling.</w:t>
      </w:r>
      <w:r w:rsidR="00167EEC">
        <w:rPr>
          <w:rFonts w:ascii="Arial" w:eastAsiaTheme="minorEastAsia" w:hAnsi="Arial" w:cs="Arial"/>
          <w:sz w:val="24"/>
          <w:szCs w:val="24"/>
        </w:rPr>
        <w:br/>
      </w:r>
    </w:p>
    <w:p w14:paraId="72497E3B" w14:textId="77777777" w:rsidR="003C5DEE" w:rsidRPr="003C5DEE" w:rsidRDefault="003C5DEE" w:rsidP="003C5DEE">
      <w:pPr>
        <w:rPr>
          <w:rFonts w:ascii="Arial" w:eastAsiaTheme="minorEastAsia" w:hAnsi="Arial" w:cs="Arial"/>
          <w:b/>
          <w:sz w:val="24"/>
          <w:szCs w:val="24"/>
        </w:rPr>
      </w:pPr>
      <w:r w:rsidRPr="003C5DEE">
        <w:rPr>
          <w:rFonts w:ascii="Arial" w:eastAsiaTheme="minorEastAsia" w:hAnsi="Arial" w:cs="Arial"/>
          <w:b/>
          <w:noProof/>
          <w:sz w:val="24"/>
          <w:szCs w:val="24"/>
        </w:rPr>
        <w:drawing>
          <wp:inline distT="0" distB="0" distL="0" distR="0" wp14:anchorId="6FD0833B" wp14:editId="2D475ED4">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87CA2E2" w14:textId="79E9C16A" w:rsidR="003C5DEE" w:rsidRPr="003C5DEE" w:rsidRDefault="003C5DEE" w:rsidP="003C5DEE">
      <w:pPr>
        <w:rPr>
          <w:rFonts w:ascii="Arial" w:eastAsiaTheme="minorEastAsia" w:hAnsi="Arial" w:cs="Arial"/>
          <w:sz w:val="20"/>
          <w:szCs w:val="20"/>
        </w:rPr>
      </w:pPr>
      <w:r w:rsidRPr="003C5DEE">
        <w:rPr>
          <w:rFonts w:ascii="Arial" w:eastAsiaTheme="minorEastAsia" w:hAnsi="Arial" w:cs="Arial"/>
          <w:sz w:val="20"/>
          <w:szCs w:val="20"/>
        </w:rPr>
        <w:t>*2018 figures based on 9 months data only and will be updated in the next report</w:t>
      </w:r>
      <w:r w:rsidR="00167EEC">
        <w:rPr>
          <w:rFonts w:ascii="Arial" w:eastAsiaTheme="minorEastAsia" w:hAnsi="Arial" w:cs="Arial"/>
          <w:sz w:val="20"/>
          <w:szCs w:val="20"/>
        </w:rPr>
        <w:br/>
      </w:r>
    </w:p>
    <w:p w14:paraId="30817EE9" w14:textId="6500F140" w:rsidR="003C5DEE" w:rsidRPr="003C5DEE" w:rsidRDefault="003C5DEE" w:rsidP="003C5DEE">
      <w:pPr>
        <w:numPr>
          <w:ilvl w:val="0"/>
          <w:numId w:val="1"/>
        </w:numPr>
        <w:contextualSpacing/>
        <w:rPr>
          <w:rFonts w:ascii="Arial" w:eastAsiaTheme="minorEastAsia" w:hAnsi="Arial" w:cs="Arial"/>
          <w:b/>
          <w:sz w:val="24"/>
          <w:szCs w:val="24"/>
        </w:rPr>
      </w:pPr>
      <w:r w:rsidRPr="003C5DEE">
        <w:rPr>
          <w:rFonts w:ascii="Arial" w:eastAsiaTheme="minorEastAsia" w:hAnsi="Arial" w:cs="Arial"/>
          <w:b/>
          <w:sz w:val="24"/>
          <w:szCs w:val="24"/>
        </w:rPr>
        <w:t>Gender breakdown</w:t>
      </w:r>
    </w:p>
    <w:p w14:paraId="4240FFDE" w14:textId="5091D643" w:rsidR="003C5DEE" w:rsidRPr="003C5DEE" w:rsidRDefault="003C5DEE" w:rsidP="003C5DEE">
      <w:pPr>
        <w:rPr>
          <w:rFonts w:ascii="Arial" w:eastAsiaTheme="minorEastAsia" w:hAnsi="Arial" w:cs="Arial"/>
          <w:sz w:val="24"/>
          <w:szCs w:val="24"/>
        </w:rPr>
      </w:pPr>
      <w:r w:rsidRPr="003C5DEE">
        <w:rPr>
          <w:rFonts w:ascii="Arial" w:eastAsiaTheme="minorEastAsia" w:hAnsi="Arial" w:cs="Arial"/>
          <w:sz w:val="24"/>
          <w:szCs w:val="24"/>
        </w:rPr>
        <w:t xml:space="preserve">Chart 2 demonstrates how the proportion of boys and girls referred has fluctuated </w:t>
      </w:r>
      <w:r w:rsidR="00167EEC">
        <w:rPr>
          <w:rFonts w:ascii="Arial" w:eastAsiaTheme="minorEastAsia" w:hAnsi="Arial" w:cs="Arial"/>
          <w:sz w:val="24"/>
          <w:szCs w:val="24"/>
        </w:rPr>
        <w:t>since 2010</w:t>
      </w:r>
      <w:r w:rsidRPr="003C5DEE">
        <w:rPr>
          <w:rFonts w:ascii="Arial" w:eastAsiaTheme="minorEastAsia" w:hAnsi="Arial" w:cs="Arial"/>
          <w:sz w:val="24"/>
          <w:szCs w:val="24"/>
        </w:rPr>
        <w:t xml:space="preserve">, </w:t>
      </w:r>
      <w:r w:rsidR="00167EEC">
        <w:rPr>
          <w:rFonts w:ascii="Arial" w:eastAsiaTheme="minorEastAsia" w:hAnsi="Arial" w:cs="Arial"/>
          <w:sz w:val="24"/>
          <w:szCs w:val="24"/>
        </w:rPr>
        <w:t xml:space="preserve">and continues to do so, with 2018 figures suggesting a reversion to the more even split between girls and boys. </w:t>
      </w:r>
      <w:r w:rsidR="005C3E78">
        <w:rPr>
          <w:rFonts w:ascii="Arial" w:eastAsiaTheme="minorEastAsia" w:hAnsi="Arial" w:cs="Arial"/>
          <w:sz w:val="24"/>
          <w:szCs w:val="24"/>
        </w:rPr>
        <w:t>Other g</w:t>
      </w:r>
      <w:r w:rsidR="00167EEC">
        <w:rPr>
          <w:rFonts w:ascii="Arial" w:eastAsiaTheme="minorEastAsia" w:hAnsi="Arial" w:cs="Arial"/>
          <w:sz w:val="24"/>
          <w:szCs w:val="24"/>
        </w:rPr>
        <w:t>ender differences will be explored further later in this report.</w:t>
      </w:r>
    </w:p>
    <w:p w14:paraId="52A4C9E1" w14:textId="77777777" w:rsidR="003C5DEE" w:rsidRPr="003C5DEE" w:rsidRDefault="003C5DEE" w:rsidP="003C5DEE">
      <w:pPr>
        <w:rPr>
          <w:rFonts w:ascii="Arial" w:eastAsiaTheme="minorEastAsia" w:hAnsi="Arial" w:cs="Arial"/>
          <w:b/>
          <w:sz w:val="24"/>
          <w:szCs w:val="24"/>
        </w:rPr>
      </w:pPr>
      <w:r w:rsidRPr="003C5DEE">
        <w:rPr>
          <w:rFonts w:ascii="Arial" w:eastAsiaTheme="minorEastAsia" w:hAnsi="Arial" w:cs="Arial"/>
          <w:b/>
          <w:noProof/>
          <w:sz w:val="24"/>
          <w:szCs w:val="24"/>
        </w:rPr>
        <w:lastRenderedPageBreak/>
        <w:drawing>
          <wp:inline distT="0" distB="0" distL="0" distR="0" wp14:anchorId="260DB02D" wp14:editId="762C7AEC">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6E19B9A" w14:textId="77777777" w:rsidR="003C5DEE" w:rsidRPr="003C5DEE" w:rsidRDefault="003C5DEE" w:rsidP="003C5DEE">
      <w:pPr>
        <w:rPr>
          <w:rFonts w:ascii="Arial" w:eastAsiaTheme="minorEastAsia" w:hAnsi="Arial" w:cs="Arial"/>
          <w:sz w:val="20"/>
          <w:szCs w:val="20"/>
        </w:rPr>
      </w:pPr>
      <w:r w:rsidRPr="003C5DEE">
        <w:rPr>
          <w:rFonts w:ascii="Arial" w:eastAsiaTheme="minorEastAsia" w:hAnsi="Arial" w:cs="Arial"/>
          <w:sz w:val="20"/>
          <w:szCs w:val="20"/>
        </w:rPr>
        <w:t>*2018 figures based on 9 months data only and will be updated in the next report</w:t>
      </w:r>
    </w:p>
    <w:p w14:paraId="681B14C5" w14:textId="77777777" w:rsidR="003C5DEE" w:rsidRPr="003C5DEE" w:rsidRDefault="003C5DEE" w:rsidP="003C5DEE">
      <w:pPr>
        <w:rPr>
          <w:rFonts w:ascii="Arial" w:eastAsiaTheme="minorEastAsia" w:hAnsi="Arial" w:cs="Arial"/>
          <w:b/>
          <w:sz w:val="24"/>
          <w:szCs w:val="24"/>
        </w:rPr>
      </w:pPr>
    </w:p>
    <w:p w14:paraId="71F8C1C0" w14:textId="77777777" w:rsidR="003C5DEE" w:rsidRPr="003C5DEE" w:rsidRDefault="003C5DEE" w:rsidP="003C5DEE">
      <w:pPr>
        <w:numPr>
          <w:ilvl w:val="0"/>
          <w:numId w:val="1"/>
        </w:numPr>
        <w:contextualSpacing/>
        <w:rPr>
          <w:rFonts w:ascii="Arial" w:eastAsiaTheme="minorEastAsia" w:hAnsi="Arial" w:cs="Arial"/>
          <w:b/>
          <w:sz w:val="24"/>
          <w:szCs w:val="24"/>
        </w:rPr>
      </w:pPr>
      <w:r w:rsidRPr="003C5DEE">
        <w:rPr>
          <w:rFonts w:ascii="Arial" w:eastAsiaTheme="minorEastAsia" w:hAnsi="Arial" w:cs="Arial"/>
          <w:b/>
          <w:sz w:val="24"/>
          <w:szCs w:val="24"/>
        </w:rPr>
        <w:t xml:space="preserve">Age break-down   </w:t>
      </w:r>
    </w:p>
    <w:p w14:paraId="6F2DCA13" w14:textId="70D8D658" w:rsidR="003C5DEE" w:rsidRPr="003C5DEE" w:rsidRDefault="003C5DEE" w:rsidP="003C5DEE">
      <w:pPr>
        <w:rPr>
          <w:rFonts w:ascii="Arial" w:eastAsiaTheme="minorEastAsia" w:hAnsi="Arial" w:cs="Arial"/>
          <w:b/>
          <w:sz w:val="24"/>
          <w:szCs w:val="24"/>
        </w:rPr>
      </w:pPr>
      <w:r w:rsidRPr="003C5DEE">
        <w:rPr>
          <w:rFonts w:ascii="Arial" w:eastAsiaTheme="minorEastAsia" w:hAnsi="Arial" w:cs="Arial"/>
          <w:sz w:val="24"/>
          <w:szCs w:val="24"/>
        </w:rPr>
        <w:t xml:space="preserve">As demonstrated by Chart 3, the largest group of referrals comes from those aged 5-10 years, with 11-16-year-olds accounting for an average of 35%, </w:t>
      </w:r>
      <w:r w:rsidR="00167EEC">
        <w:rPr>
          <w:rFonts w:ascii="Arial" w:eastAsiaTheme="minorEastAsia" w:hAnsi="Arial" w:cs="Arial"/>
          <w:sz w:val="24"/>
          <w:szCs w:val="24"/>
        </w:rPr>
        <w:t>a figure which has remained stable since 2015</w:t>
      </w:r>
      <w:r w:rsidRPr="003C5DEE">
        <w:rPr>
          <w:rFonts w:ascii="Arial" w:eastAsiaTheme="minorEastAsia" w:hAnsi="Arial" w:cs="Arial"/>
          <w:sz w:val="24"/>
          <w:szCs w:val="24"/>
        </w:rPr>
        <w:t>.  The oldest age-group (17+) accounts for 6</w:t>
      </w:r>
      <w:r w:rsidR="005C3E78">
        <w:rPr>
          <w:rFonts w:ascii="Arial" w:eastAsiaTheme="minorEastAsia" w:hAnsi="Arial" w:cs="Arial"/>
          <w:sz w:val="24"/>
          <w:szCs w:val="24"/>
        </w:rPr>
        <w:t>%</w:t>
      </w:r>
      <w:r w:rsidRPr="003C5DEE">
        <w:rPr>
          <w:rFonts w:ascii="Arial" w:eastAsiaTheme="minorEastAsia" w:hAnsi="Arial" w:cs="Arial"/>
          <w:sz w:val="24"/>
          <w:szCs w:val="24"/>
        </w:rPr>
        <w:t>-</w:t>
      </w:r>
      <w:r w:rsidR="005C3E78">
        <w:rPr>
          <w:rFonts w:ascii="Arial" w:eastAsiaTheme="minorEastAsia" w:hAnsi="Arial" w:cs="Arial"/>
          <w:sz w:val="24"/>
          <w:szCs w:val="24"/>
        </w:rPr>
        <w:t>1</w:t>
      </w:r>
      <w:r w:rsidRPr="003C5DEE">
        <w:rPr>
          <w:rFonts w:ascii="Arial" w:eastAsiaTheme="minorEastAsia" w:hAnsi="Arial" w:cs="Arial"/>
          <w:sz w:val="24"/>
          <w:szCs w:val="24"/>
        </w:rPr>
        <w:t>0</w:t>
      </w:r>
      <w:r w:rsidR="005C3E78">
        <w:rPr>
          <w:rFonts w:ascii="Arial" w:eastAsiaTheme="minorEastAsia" w:hAnsi="Arial" w:cs="Arial"/>
          <w:sz w:val="24"/>
          <w:szCs w:val="24"/>
        </w:rPr>
        <w:t>%</w:t>
      </w:r>
      <w:r w:rsidRPr="003C5DEE">
        <w:rPr>
          <w:rFonts w:ascii="Arial" w:eastAsiaTheme="minorEastAsia" w:hAnsi="Arial" w:cs="Arial"/>
          <w:sz w:val="24"/>
          <w:szCs w:val="24"/>
        </w:rPr>
        <w:t xml:space="preserve"> referrals each year, with even fewer coming from those under 5 years.  The age-split has remained similar for the last three years.</w:t>
      </w:r>
      <w:r w:rsidR="005C3E78">
        <w:rPr>
          <w:rFonts w:ascii="Arial" w:eastAsiaTheme="minorEastAsia" w:hAnsi="Arial" w:cs="Arial"/>
          <w:sz w:val="24"/>
          <w:szCs w:val="24"/>
        </w:rPr>
        <w:t>it should be noted that there is a small group of 15 children, referred since 2016, for whom the date of birth is unknown.</w:t>
      </w:r>
    </w:p>
    <w:p w14:paraId="4AAE2753" w14:textId="77777777" w:rsidR="003C5DEE" w:rsidRPr="003C5DEE" w:rsidRDefault="003C5DEE" w:rsidP="003C5DEE">
      <w:pPr>
        <w:rPr>
          <w:rFonts w:ascii="Arial" w:eastAsiaTheme="minorEastAsia" w:hAnsi="Arial" w:cs="Arial"/>
          <w:b/>
          <w:sz w:val="24"/>
          <w:szCs w:val="24"/>
        </w:rPr>
      </w:pPr>
      <w:r w:rsidRPr="003C5DEE">
        <w:rPr>
          <w:rFonts w:ascii="Arial" w:eastAsiaTheme="minorEastAsia" w:hAnsi="Arial" w:cs="Arial"/>
          <w:b/>
          <w:noProof/>
          <w:sz w:val="24"/>
          <w:szCs w:val="24"/>
        </w:rPr>
        <w:drawing>
          <wp:inline distT="0" distB="0" distL="0" distR="0" wp14:anchorId="2374A201" wp14:editId="4C77B3FD">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6276EB3" w14:textId="752726CF" w:rsidR="00BD01A9" w:rsidRDefault="003C5DEE" w:rsidP="003C5DEE">
      <w:pPr>
        <w:rPr>
          <w:rFonts w:ascii="Arial" w:eastAsiaTheme="minorEastAsia" w:hAnsi="Arial" w:cs="Arial"/>
          <w:sz w:val="20"/>
          <w:szCs w:val="20"/>
        </w:rPr>
      </w:pPr>
      <w:r w:rsidRPr="003C5DEE">
        <w:rPr>
          <w:rFonts w:ascii="Arial" w:eastAsiaTheme="minorEastAsia" w:hAnsi="Arial" w:cs="Arial"/>
          <w:sz w:val="20"/>
          <w:szCs w:val="20"/>
        </w:rPr>
        <w:t>*2018 figures based on 9 months data only and will be updated in the next report</w:t>
      </w:r>
    </w:p>
    <w:p w14:paraId="01CE90D0" w14:textId="49A3F238" w:rsidR="003C5DEE" w:rsidRPr="003C5DEE" w:rsidRDefault="00BD01A9" w:rsidP="005C3E78">
      <w:pPr>
        <w:rPr>
          <w:rFonts w:ascii="Arial" w:eastAsiaTheme="minorEastAsia" w:hAnsi="Arial" w:cs="Arial"/>
          <w:b/>
          <w:sz w:val="24"/>
          <w:szCs w:val="24"/>
        </w:rPr>
      </w:pPr>
      <w:r>
        <w:rPr>
          <w:rFonts w:ascii="Arial" w:eastAsiaTheme="minorEastAsia" w:hAnsi="Arial" w:cs="Arial"/>
          <w:sz w:val="20"/>
          <w:szCs w:val="20"/>
        </w:rPr>
        <w:br w:type="page"/>
      </w:r>
      <w:r w:rsidR="003C5DEE" w:rsidRPr="003C5DEE">
        <w:rPr>
          <w:rFonts w:ascii="Arial" w:eastAsiaTheme="minorEastAsia" w:hAnsi="Arial" w:cs="Arial"/>
          <w:b/>
          <w:sz w:val="24"/>
          <w:szCs w:val="24"/>
        </w:rPr>
        <w:t>Ethnicity breakdown</w:t>
      </w:r>
    </w:p>
    <w:p w14:paraId="6C962F7C" w14:textId="7205D690" w:rsidR="003C5DEE" w:rsidRPr="003C5DEE" w:rsidRDefault="00BF093F" w:rsidP="003C5DEE">
      <w:pPr>
        <w:rPr>
          <w:rFonts w:ascii="Arial" w:eastAsiaTheme="minorEastAsia" w:hAnsi="Arial" w:cs="Arial"/>
          <w:sz w:val="24"/>
          <w:szCs w:val="24"/>
        </w:rPr>
      </w:pPr>
      <w:r>
        <w:rPr>
          <w:rFonts w:ascii="Arial" w:eastAsiaTheme="minorEastAsia" w:hAnsi="Arial" w:cs="Arial"/>
          <w:sz w:val="24"/>
          <w:szCs w:val="24"/>
        </w:rPr>
        <w:t>The</w:t>
      </w:r>
      <w:r w:rsidR="003C5DEE" w:rsidRPr="003C5DEE">
        <w:rPr>
          <w:rFonts w:ascii="Arial" w:eastAsiaTheme="minorEastAsia" w:hAnsi="Arial" w:cs="Arial"/>
          <w:sz w:val="24"/>
          <w:szCs w:val="24"/>
        </w:rPr>
        <w:t xml:space="preserve"> proportion of minority ethnic groups </w:t>
      </w:r>
      <w:r>
        <w:rPr>
          <w:rFonts w:ascii="Arial" w:eastAsiaTheme="minorEastAsia" w:hAnsi="Arial" w:cs="Arial"/>
          <w:sz w:val="24"/>
          <w:szCs w:val="24"/>
        </w:rPr>
        <w:t>remains around 12-13</w:t>
      </w:r>
      <w:r w:rsidR="003C5DEE" w:rsidRPr="003C5DEE">
        <w:rPr>
          <w:rFonts w:ascii="Arial" w:eastAsiaTheme="minorEastAsia" w:hAnsi="Arial" w:cs="Arial"/>
          <w:sz w:val="24"/>
          <w:szCs w:val="24"/>
        </w:rPr>
        <w:t>%</w:t>
      </w:r>
      <w:r>
        <w:rPr>
          <w:rFonts w:ascii="Arial" w:eastAsiaTheme="minorEastAsia" w:hAnsi="Arial" w:cs="Arial"/>
          <w:sz w:val="24"/>
          <w:szCs w:val="24"/>
        </w:rPr>
        <w:t>; however, the percentage of referrals for whom the ethnicity is unknown has risen to a high of 21%. The reasons for this need further exploration.  The sub-group of referrals from the Asian minority is examined in greater detail later in this report.</w:t>
      </w:r>
    </w:p>
    <w:p w14:paraId="1E59302F" w14:textId="77777777" w:rsidR="003C5DEE" w:rsidRPr="003C5DEE" w:rsidRDefault="003C5DEE" w:rsidP="003C5DEE">
      <w:pPr>
        <w:rPr>
          <w:rFonts w:ascii="Arial" w:eastAsiaTheme="minorEastAsia" w:hAnsi="Arial" w:cs="Arial"/>
          <w:b/>
          <w:sz w:val="24"/>
          <w:szCs w:val="24"/>
        </w:rPr>
      </w:pPr>
      <w:r w:rsidRPr="003C5DEE">
        <w:rPr>
          <w:rFonts w:ascii="Arial" w:eastAsiaTheme="minorEastAsia" w:hAnsi="Arial" w:cs="Arial"/>
          <w:b/>
          <w:noProof/>
          <w:sz w:val="24"/>
          <w:szCs w:val="24"/>
        </w:rPr>
        <w:drawing>
          <wp:inline distT="0" distB="0" distL="0" distR="0" wp14:anchorId="2740D085" wp14:editId="7C8C4F76">
            <wp:extent cx="5486400" cy="2987040"/>
            <wp:effectExtent l="0" t="0" r="0" b="38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E9A2E66" w14:textId="77777777" w:rsidR="003C5DEE" w:rsidRPr="003C5DEE" w:rsidRDefault="003C5DEE" w:rsidP="003C5DEE">
      <w:pPr>
        <w:rPr>
          <w:rFonts w:ascii="Arial" w:eastAsiaTheme="minorEastAsia" w:hAnsi="Arial" w:cs="Arial"/>
          <w:sz w:val="20"/>
          <w:szCs w:val="20"/>
        </w:rPr>
      </w:pPr>
      <w:r w:rsidRPr="003C5DEE">
        <w:rPr>
          <w:rFonts w:ascii="Arial" w:eastAsiaTheme="minorEastAsia" w:hAnsi="Arial" w:cs="Arial"/>
          <w:sz w:val="20"/>
          <w:szCs w:val="20"/>
        </w:rPr>
        <w:t>*2018 figures based on 9 months data only and will be updated in the next report</w:t>
      </w:r>
    </w:p>
    <w:p w14:paraId="5BF2E927" w14:textId="77777777" w:rsidR="003C5DEE" w:rsidRPr="003C5DEE" w:rsidRDefault="003C5DEE" w:rsidP="003C5DEE">
      <w:pPr>
        <w:rPr>
          <w:rFonts w:ascii="Arial" w:eastAsiaTheme="minorEastAsia" w:hAnsi="Arial" w:cs="Arial"/>
          <w:b/>
          <w:sz w:val="24"/>
          <w:szCs w:val="24"/>
        </w:rPr>
      </w:pPr>
    </w:p>
    <w:p w14:paraId="10E75ECD" w14:textId="77777777" w:rsidR="003C5DEE" w:rsidRPr="003C5DEE" w:rsidRDefault="003C5DEE" w:rsidP="003C5DEE">
      <w:pPr>
        <w:numPr>
          <w:ilvl w:val="0"/>
          <w:numId w:val="1"/>
        </w:numPr>
        <w:contextualSpacing/>
        <w:rPr>
          <w:rFonts w:ascii="Arial" w:eastAsiaTheme="minorEastAsia" w:hAnsi="Arial" w:cs="Arial"/>
          <w:b/>
          <w:sz w:val="24"/>
          <w:szCs w:val="24"/>
        </w:rPr>
      </w:pPr>
      <w:r w:rsidRPr="003C5DEE">
        <w:rPr>
          <w:rFonts w:ascii="Arial" w:eastAsiaTheme="minorEastAsia" w:hAnsi="Arial" w:cs="Arial"/>
          <w:b/>
          <w:sz w:val="24"/>
          <w:szCs w:val="24"/>
        </w:rPr>
        <w:t>Source of referral</w:t>
      </w:r>
    </w:p>
    <w:p w14:paraId="0D2F6D4F" w14:textId="77777777" w:rsidR="003C5DEE" w:rsidRPr="003C5DEE" w:rsidRDefault="003C5DEE" w:rsidP="003C5DEE">
      <w:pPr>
        <w:rPr>
          <w:rFonts w:ascii="Arial" w:eastAsiaTheme="minorEastAsia" w:hAnsi="Arial" w:cs="Arial"/>
          <w:b/>
          <w:sz w:val="24"/>
          <w:szCs w:val="24"/>
        </w:rPr>
      </w:pPr>
      <w:r w:rsidRPr="003C5DEE">
        <w:rPr>
          <w:rFonts w:ascii="Arial" w:eastAsiaTheme="minorEastAsia" w:hAnsi="Arial" w:cs="Arial"/>
          <w:b/>
          <w:noProof/>
          <w:sz w:val="24"/>
          <w:szCs w:val="24"/>
        </w:rPr>
        <w:drawing>
          <wp:inline distT="0" distB="0" distL="0" distR="0" wp14:anchorId="2DD15735" wp14:editId="530B511D">
            <wp:extent cx="5486400" cy="3566160"/>
            <wp:effectExtent l="0" t="0" r="0"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F813036" w14:textId="77777777" w:rsidR="003C5DEE" w:rsidRPr="003C5DEE" w:rsidRDefault="003C5DEE" w:rsidP="003C5DEE">
      <w:pPr>
        <w:rPr>
          <w:rFonts w:ascii="Arial" w:eastAsiaTheme="minorEastAsia" w:hAnsi="Arial" w:cs="Arial"/>
          <w:sz w:val="20"/>
          <w:szCs w:val="20"/>
        </w:rPr>
      </w:pPr>
      <w:r w:rsidRPr="003C5DEE">
        <w:rPr>
          <w:rFonts w:ascii="Arial" w:eastAsiaTheme="minorEastAsia" w:hAnsi="Arial" w:cs="Arial"/>
          <w:sz w:val="20"/>
          <w:szCs w:val="20"/>
        </w:rPr>
        <w:t>*2018 figures based on 9 months data only and will be updated in the next report</w:t>
      </w:r>
    </w:p>
    <w:p w14:paraId="24483616" w14:textId="33DB78B1" w:rsidR="00BF093F" w:rsidRPr="003C5DEE" w:rsidRDefault="00BF093F" w:rsidP="00BF093F">
      <w:pPr>
        <w:rPr>
          <w:rFonts w:ascii="Arial" w:eastAsiaTheme="minorEastAsia" w:hAnsi="Arial" w:cs="Arial"/>
          <w:sz w:val="24"/>
          <w:szCs w:val="24"/>
        </w:rPr>
      </w:pPr>
      <w:r w:rsidRPr="003C5DEE">
        <w:rPr>
          <w:rFonts w:ascii="Arial" w:eastAsiaTheme="minorEastAsia" w:hAnsi="Arial" w:cs="Arial"/>
          <w:sz w:val="24"/>
          <w:szCs w:val="24"/>
        </w:rPr>
        <w:t xml:space="preserve">Chart 5 illustrates the </w:t>
      </w:r>
      <w:r w:rsidR="00B11A55">
        <w:rPr>
          <w:rFonts w:ascii="Arial" w:eastAsiaTheme="minorEastAsia" w:hAnsi="Arial" w:cs="Arial"/>
          <w:sz w:val="24"/>
          <w:szCs w:val="24"/>
        </w:rPr>
        <w:t xml:space="preserve">continued </w:t>
      </w:r>
      <w:r w:rsidRPr="003C5DEE">
        <w:rPr>
          <w:rFonts w:ascii="Arial" w:eastAsiaTheme="minorEastAsia" w:hAnsi="Arial" w:cs="Arial"/>
          <w:sz w:val="24"/>
          <w:szCs w:val="24"/>
        </w:rPr>
        <w:t xml:space="preserve">growth of the numbers of referrals from the family </w:t>
      </w:r>
      <w:r w:rsidR="00B11A55">
        <w:rPr>
          <w:rFonts w:ascii="Arial" w:eastAsiaTheme="minorEastAsia" w:hAnsi="Arial" w:cs="Arial"/>
          <w:sz w:val="24"/>
          <w:szCs w:val="24"/>
        </w:rPr>
        <w:t>in particular</w:t>
      </w:r>
      <w:r w:rsidR="00ED12D7">
        <w:rPr>
          <w:rFonts w:ascii="Arial" w:eastAsiaTheme="minorEastAsia" w:hAnsi="Arial" w:cs="Arial"/>
          <w:sz w:val="24"/>
          <w:szCs w:val="24"/>
        </w:rPr>
        <w:t>, reaching 51% of all referrals so far in 2018</w:t>
      </w:r>
      <w:r w:rsidR="00B11A55">
        <w:rPr>
          <w:rFonts w:ascii="Arial" w:eastAsiaTheme="minorEastAsia" w:hAnsi="Arial" w:cs="Arial"/>
          <w:sz w:val="24"/>
          <w:szCs w:val="24"/>
        </w:rPr>
        <w:t xml:space="preserve">.  Nine months’ data from 2018 suggests fewer referrals from schools and colleges than in 2016, although that might well be reversed when the full year’s data is included next time. </w:t>
      </w:r>
    </w:p>
    <w:p w14:paraId="1C964ABC" w14:textId="4CBDD1CF" w:rsidR="00AD10FA" w:rsidRPr="003C5DEE" w:rsidRDefault="00BF093F" w:rsidP="00BF093F">
      <w:pPr>
        <w:rPr>
          <w:rFonts w:ascii="Arial" w:eastAsiaTheme="minorEastAsia" w:hAnsi="Arial" w:cs="Arial"/>
          <w:sz w:val="24"/>
          <w:szCs w:val="24"/>
        </w:rPr>
      </w:pPr>
      <w:r w:rsidRPr="003C5DEE">
        <w:rPr>
          <w:rFonts w:ascii="Arial" w:eastAsiaTheme="minorEastAsia" w:hAnsi="Arial" w:cs="Arial"/>
          <w:sz w:val="24"/>
          <w:szCs w:val="24"/>
        </w:rPr>
        <w:t xml:space="preserve">There is a relationship between source of referrals and gender, as shown in this table for 2016 </w:t>
      </w:r>
      <w:r w:rsidR="00ED12D7">
        <w:rPr>
          <w:rFonts w:ascii="Arial" w:eastAsiaTheme="minorEastAsia" w:hAnsi="Arial" w:cs="Arial"/>
          <w:sz w:val="24"/>
          <w:szCs w:val="24"/>
        </w:rPr>
        <w:t>-</w:t>
      </w:r>
      <w:r w:rsidRPr="003C5DEE">
        <w:rPr>
          <w:rFonts w:ascii="Arial" w:eastAsiaTheme="minorEastAsia" w:hAnsi="Arial" w:cs="Arial"/>
          <w:sz w:val="24"/>
          <w:szCs w:val="24"/>
        </w:rPr>
        <w:t xml:space="preserve"> 2018 referrals: schools referred more boys than girls.</w:t>
      </w:r>
    </w:p>
    <w:tbl>
      <w:tblPr>
        <w:tblStyle w:val="TableGrid"/>
        <w:tblW w:w="0" w:type="auto"/>
        <w:tblLook w:val="04A0" w:firstRow="1" w:lastRow="0" w:firstColumn="1" w:lastColumn="0" w:noHBand="0" w:noVBand="1"/>
      </w:tblPr>
      <w:tblGrid>
        <w:gridCol w:w="1980"/>
        <w:gridCol w:w="1984"/>
        <w:gridCol w:w="1985"/>
        <w:gridCol w:w="3067"/>
      </w:tblGrid>
      <w:tr w:rsidR="00BF093F" w:rsidRPr="003C5DEE" w14:paraId="314058BE" w14:textId="77777777" w:rsidTr="0002316B">
        <w:tc>
          <w:tcPr>
            <w:tcW w:w="1980" w:type="dxa"/>
          </w:tcPr>
          <w:p w14:paraId="6BC817AB" w14:textId="77777777" w:rsidR="00BF093F" w:rsidRPr="003C5DEE" w:rsidRDefault="00BF093F" w:rsidP="0002316B">
            <w:pPr>
              <w:jc w:val="center"/>
              <w:rPr>
                <w:rFonts w:ascii="Arial" w:hAnsi="Arial" w:cs="Arial"/>
                <w:b/>
                <w:sz w:val="24"/>
                <w:szCs w:val="24"/>
              </w:rPr>
            </w:pPr>
            <w:r w:rsidRPr="003C5DEE">
              <w:rPr>
                <w:rFonts w:ascii="Arial" w:hAnsi="Arial" w:cs="Arial"/>
                <w:b/>
                <w:sz w:val="24"/>
                <w:szCs w:val="24"/>
              </w:rPr>
              <w:t>Referral source</w:t>
            </w:r>
          </w:p>
        </w:tc>
        <w:tc>
          <w:tcPr>
            <w:tcW w:w="1984" w:type="dxa"/>
          </w:tcPr>
          <w:p w14:paraId="7640FB2C" w14:textId="77777777" w:rsidR="00BF093F" w:rsidRPr="003C5DEE" w:rsidRDefault="00BF093F" w:rsidP="0002316B">
            <w:pPr>
              <w:jc w:val="center"/>
              <w:rPr>
                <w:rFonts w:ascii="Arial" w:hAnsi="Arial" w:cs="Arial"/>
                <w:b/>
                <w:sz w:val="24"/>
                <w:szCs w:val="24"/>
              </w:rPr>
            </w:pPr>
            <w:r w:rsidRPr="003C5DEE">
              <w:rPr>
                <w:rFonts w:ascii="Arial" w:hAnsi="Arial" w:cs="Arial"/>
                <w:b/>
                <w:sz w:val="24"/>
                <w:szCs w:val="24"/>
              </w:rPr>
              <w:t>% girls referred</w:t>
            </w:r>
          </w:p>
        </w:tc>
        <w:tc>
          <w:tcPr>
            <w:tcW w:w="1985" w:type="dxa"/>
          </w:tcPr>
          <w:p w14:paraId="35F0BCB3" w14:textId="77777777" w:rsidR="00BF093F" w:rsidRPr="003C5DEE" w:rsidRDefault="00BF093F" w:rsidP="0002316B">
            <w:pPr>
              <w:jc w:val="center"/>
              <w:rPr>
                <w:rFonts w:ascii="Arial" w:hAnsi="Arial" w:cs="Arial"/>
                <w:b/>
                <w:sz w:val="24"/>
                <w:szCs w:val="24"/>
              </w:rPr>
            </w:pPr>
            <w:r w:rsidRPr="003C5DEE">
              <w:rPr>
                <w:rFonts w:ascii="Arial" w:hAnsi="Arial" w:cs="Arial"/>
                <w:b/>
                <w:sz w:val="24"/>
                <w:szCs w:val="24"/>
              </w:rPr>
              <w:t>% boys referred</w:t>
            </w:r>
          </w:p>
        </w:tc>
        <w:tc>
          <w:tcPr>
            <w:tcW w:w="3067" w:type="dxa"/>
          </w:tcPr>
          <w:p w14:paraId="6F83E04A" w14:textId="77777777" w:rsidR="00BF093F" w:rsidRPr="003C5DEE" w:rsidRDefault="00BF093F" w:rsidP="0002316B">
            <w:pPr>
              <w:jc w:val="center"/>
              <w:rPr>
                <w:rFonts w:ascii="Arial" w:hAnsi="Arial" w:cs="Arial"/>
                <w:b/>
                <w:sz w:val="24"/>
                <w:szCs w:val="24"/>
              </w:rPr>
            </w:pPr>
            <w:r w:rsidRPr="003C5DEE">
              <w:rPr>
                <w:rFonts w:ascii="Arial" w:hAnsi="Arial" w:cs="Arial"/>
                <w:b/>
                <w:sz w:val="24"/>
                <w:szCs w:val="24"/>
              </w:rPr>
              <w:t>% of total referrals</w:t>
            </w:r>
          </w:p>
        </w:tc>
      </w:tr>
      <w:tr w:rsidR="00BF093F" w:rsidRPr="003C5DEE" w14:paraId="57EF11F2" w14:textId="77777777" w:rsidTr="0002316B">
        <w:tc>
          <w:tcPr>
            <w:tcW w:w="1980" w:type="dxa"/>
          </w:tcPr>
          <w:p w14:paraId="0C992D32" w14:textId="77777777" w:rsidR="00BF093F" w:rsidRPr="003C5DEE" w:rsidRDefault="00BF093F" w:rsidP="0002316B">
            <w:pPr>
              <w:rPr>
                <w:rFonts w:ascii="Arial" w:hAnsi="Arial" w:cs="Arial"/>
                <w:sz w:val="24"/>
                <w:szCs w:val="24"/>
              </w:rPr>
            </w:pPr>
            <w:r w:rsidRPr="003C5DEE">
              <w:rPr>
                <w:rFonts w:ascii="Arial" w:hAnsi="Arial" w:cs="Arial"/>
                <w:sz w:val="24"/>
                <w:szCs w:val="24"/>
              </w:rPr>
              <w:t>School/College</w:t>
            </w:r>
          </w:p>
        </w:tc>
        <w:tc>
          <w:tcPr>
            <w:tcW w:w="1984" w:type="dxa"/>
          </w:tcPr>
          <w:p w14:paraId="6B67852B" w14:textId="77777777" w:rsidR="00BF093F" w:rsidRPr="003C5DEE" w:rsidRDefault="00BF093F" w:rsidP="0002316B">
            <w:pPr>
              <w:jc w:val="center"/>
              <w:rPr>
                <w:rFonts w:ascii="Arial" w:hAnsi="Arial" w:cs="Arial"/>
                <w:sz w:val="24"/>
                <w:szCs w:val="24"/>
              </w:rPr>
            </w:pPr>
            <w:r w:rsidRPr="003C5DEE">
              <w:rPr>
                <w:rFonts w:ascii="Arial" w:hAnsi="Arial" w:cs="Arial"/>
                <w:sz w:val="24"/>
                <w:szCs w:val="24"/>
              </w:rPr>
              <w:t>28%</w:t>
            </w:r>
          </w:p>
        </w:tc>
        <w:tc>
          <w:tcPr>
            <w:tcW w:w="1985" w:type="dxa"/>
          </w:tcPr>
          <w:p w14:paraId="7D6CB0B0" w14:textId="77777777" w:rsidR="00BF093F" w:rsidRPr="003C5DEE" w:rsidRDefault="00BF093F" w:rsidP="0002316B">
            <w:pPr>
              <w:jc w:val="center"/>
              <w:rPr>
                <w:rFonts w:ascii="Arial" w:hAnsi="Arial" w:cs="Arial"/>
                <w:sz w:val="24"/>
                <w:szCs w:val="24"/>
              </w:rPr>
            </w:pPr>
            <w:r w:rsidRPr="003C5DEE">
              <w:rPr>
                <w:rFonts w:ascii="Arial" w:hAnsi="Arial" w:cs="Arial"/>
                <w:sz w:val="24"/>
                <w:szCs w:val="24"/>
              </w:rPr>
              <w:t>38%</w:t>
            </w:r>
          </w:p>
        </w:tc>
        <w:tc>
          <w:tcPr>
            <w:tcW w:w="3067" w:type="dxa"/>
          </w:tcPr>
          <w:p w14:paraId="4DC349B2" w14:textId="77777777" w:rsidR="00BF093F" w:rsidRPr="003C5DEE" w:rsidRDefault="00BF093F" w:rsidP="0002316B">
            <w:pPr>
              <w:jc w:val="center"/>
              <w:rPr>
                <w:rFonts w:ascii="Arial" w:hAnsi="Arial" w:cs="Arial"/>
                <w:sz w:val="24"/>
                <w:szCs w:val="24"/>
              </w:rPr>
            </w:pPr>
            <w:r w:rsidRPr="003C5DEE">
              <w:rPr>
                <w:rFonts w:ascii="Arial" w:hAnsi="Arial" w:cs="Arial"/>
                <w:sz w:val="24"/>
                <w:szCs w:val="24"/>
              </w:rPr>
              <w:t>33%</w:t>
            </w:r>
          </w:p>
        </w:tc>
      </w:tr>
      <w:tr w:rsidR="00BF093F" w:rsidRPr="003C5DEE" w14:paraId="3724E863" w14:textId="77777777" w:rsidTr="0002316B">
        <w:tc>
          <w:tcPr>
            <w:tcW w:w="1980" w:type="dxa"/>
          </w:tcPr>
          <w:p w14:paraId="09905A6B" w14:textId="77777777" w:rsidR="00BF093F" w:rsidRPr="003C5DEE" w:rsidRDefault="00BF093F" w:rsidP="0002316B">
            <w:pPr>
              <w:rPr>
                <w:rFonts w:ascii="Arial" w:hAnsi="Arial" w:cs="Arial"/>
                <w:sz w:val="24"/>
                <w:szCs w:val="24"/>
              </w:rPr>
            </w:pPr>
            <w:r w:rsidRPr="003C5DEE">
              <w:rPr>
                <w:rFonts w:ascii="Arial" w:hAnsi="Arial" w:cs="Arial"/>
                <w:sz w:val="24"/>
                <w:szCs w:val="24"/>
              </w:rPr>
              <w:t>Parent</w:t>
            </w:r>
          </w:p>
        </w:tc>
        <w:tc>
          <w:tcPr>
            <w:tcW w:w="1984" w:type="dxa"/>
          </w:tcPr>
          <w:p w14:paraId="01E964C3" w14:textId="77777777" w:rsidR="00BF093F" w:rsidRPr="003C5DEE" w:rsidRDefault="00BF093F" w:rsidP="0002316B">
            <w:pPr>
              <w:jc w:val="center"/>
              <w:rPr>
                <w:rFonts w:ascii="Arial" w:hAnsi="Arial" w:cs="Arial"/>
                <w:sz w:val="24"/>
                <w:szCs w:val="24"/>
              </w:rPr>
            </w:pPr>
            <w:r w:rsidRPr="003C5DEE">
              <w:rPr>
                <w:rFonts w:ascii="Arial" w:hAnsi="Arial" w:cs="Arial"/>
                <w:sz w:val="24"/>
                <w:szCs w:val="24"/>
              </w:rPr>
              <w:t>43%</w:t>
            </w:r>
          </w:p>
        </w:tc>
        <w:tc>
          <w:tcPr>
            <w:tcW w:w="1985" w:type="dxa"/>
          </w:tcPr>
          <w:p w14:paraId="71CB2E8E" w14:textId="77777777" w:rsidR="00BF093F" w:rsidRPr="003C5DEE" w:rsidRDefault="00BF093F" w:rsidP="0002316B">
            <w:pPr>
              <w:jc w:val="center"/>
              <w:rPr>
                <w:rFonts w:ascii="Arial" w:hAnsi="Arial" w:cs="Arial"/>
                <w:sz w:val="24"/>
                <w:szCs w:val="24"/>
              </w:rPr>
            </w:pPr>
            <w:r w:rsidRPr="003C5DEE">
              <w:rPr>
                <w:rFonts w:ascii="Arial" w:hAnsi="Arial" w:cs="Arial"/>
                <w:sz w:val="24"/>
                <w:szCs w:val="24"/>
              </w:rPr>
              <w:t>37%</w:t>
            </w:r>
          </w:p>
        </w:tc>
        <w:tc>
          <w:tcPr>
            <w:tcW w:w="3067" w:type="dxa"/>
          </w:tcPr>
          <w:p w14:paraId="1AC5F3C1" w14:textId="77777777" w:rsidR="00BF093F" w:rsidRPr="003C5DEE" w:rsidRDefault="00BF093F" w:rsidP="0002316B">
            <w:pPr>
              <w:jc w:val="center"/>
              <w:rPr>
                <w:rFonts w:ascii="Arial" w:hAnsi="Arial" w:cs="Arial"/>
                <w:sz w:val="24"/>
                <w:szCs w:val="24"/>
              </w:rPr>
            </w:pPr>
            <w:r w:rsidRPr="003C5DEE">
              <w:rPr>
                <w:rFonts w:ascii="Arial" w:hAnsi="Arial" w:cs="Arial"/>
                <w:sz w:val="24"/>
                <w:szCs w:val="24"/>
              </w:rPr>
              <w:t>40%</w:t>
            </w:r>
          </w:p>
        </w:tc>
      </w:tr>
    </w:tbl>
    <w:p w14:paraId="310DEBD2" w14:textId="77777777" w:rsidR="00BD01A9" w:rsidRPr="003C5DEE" w:rsidRDefault="00BD01A9" w:rsidP="003C5DEE">
      <w:pPr>
        <w:rPr>
          <w:rFonts w:ascii="Arial" w:eastAsiaTheme="minorEastAsia" w:hAnsi="Arial" w:cs="Arial"/>
          <w:b/>
          <w:sz w:val="24"/>
          <w:szCs w:val="24"/>
        </w:rPr>
      </w:pPr>
    </w:p>
    <w:p w14:paraId="4CA05D2E" w14:textId="77777777" w:rsidR="003C5DEE" w:rsidRPr="003C5DEE" w:rsidRDefault="003C5DEE" w:rsidP="003C5DEE">
      <w:pPr>
        <w:numPr>
          <w:ilvl w:val="0"/>
          <w:numId w:val="1"/>
        </w:numPr>
        <w:contextualSpacing/>
        <w:rPr>
          <w:rFonts w:ascii="Arial" w:eastAsiaTheme="minorEastAsia" w:hAnsi="Arial" w:cs="Arial"/>
          <w:b/>
          <w:sz w:val="24"/>
          <w:szCs w:val="24"/>
        </w:rPr>
      </w:pPr>
      <w:r w:rsidRPr="003C5DEE">
        <w:rPr>
          <w:rFonts w:ascii="Arial" w:eastAsiaTheme="minorEastAsia" w:hAnsi="Arial" w:cs="Arial"/>
          <w:b/>
          <w:sz w:val="24"/>
          <w:szCs w:val="24"/>
        </w:rPr>
        <w:t>Local Authority</w:t>
      </w:r>
    </w:p>
    <w:p w14:paraId="3F2396C3" w14:textId="57FBD251" w:rsidR="003C5DEE" w:rsidRPr="003C5DEE" w:rsidRDefault="003C5DEE" w:rsidP="003C5DEE">
      <w:pPr>
        <w:rPr>
          <w:rFonts w:ascii="Arial" w:eastAsiaTheme="minorEastAsia" w:hAnsi="Arial" w:cs="Arial"/>
          <w:sz w:val="24"/>
          <w:szCs w:val="24"/>
        </w:rPr>
      </w:pPr>
      <w:r w:rsidRPr="003C5DEE">
        <w:rPr>
          <w:rFonts w:ascii="Arial" w:eastAsiaTheme="minorEastAsia" w:hAnsi="Arial" w:cs="Arial"/>
          <w:sz w:val="24"/>
          <w:szCs w:val="24"/>
        </w:rPr>
        <w:t>From 2014 onwards, the number of referrals relating to those living in Kirklees increased dramatically.  As illustrated by Chart 6, such referrals accounted for 54% of all referrals in 2016</w:t>
      </w:r>
      <w:r w:rsidR="00ED12D7">
        <w:rPr>
          <w:rFonts w:ascii="Arial" w:eastAsiaTheme="minorEastAsia" w:hAnsi="Arial" w:cs="Arial"/>
          <w:sz w:val="24"/>
          <w:szCs w:val="24"/>
        </w:rPr>
        <w:t>,</w:t>
      </w:r>
      <w:r w:rsidRPr="003C5DEE">
        <w:rPr>
          <w:rFonts w:ascii="Arial" w:eastAsiaTheme="minorEastAsia" w:hAnsi="Arial" w:cs="Arial"/>
          <w:sz w:val="24"/>
          <w:szCs w:val="24"/>
        </w:rPr>
        <w:t xml:space="preserve"> 52% in 2017</w:t>
      </w:r>
      <w:r w:rsidR="00ED12D7">
        <w:rPr>
          <w:rFonts w:ascii="Arial" w:eastAsiaTheme="minorEastAsia" w:hAnsi="Arial" w:cs="Arial"/>
          <w:sz w:val="24"/>
          <w:szCs w:val="24"/>
        </w:rPr>
        <w:t>, and reaching 57% in 2018 (to date).</w:t>
      </w:r>
      <w:r w:rsidRPr="003C5DEE">
        <w:rPr>
          <w:rFonts w:ascii="Arial" w:eastAsiaTheme="minorEastAsia" w:hAnsi="Arial" w:cs="Arial"/>
          <w:sz w:val="24"/>
          <w:szCs w:val="24"/>
        </w:rPr>
        <w:t xml:space="preserve"> </w:t>
      </w:r>
    </w:p>
    <w:p w14:paraId="535B83A4" w14:textId="77777777" w:rsidR="003C5DEE" w:rsidRPr="003C5DEE" w:rsidRDefault="003C5DEE" w:rsidP="003C5DEE">
      <w:pPr>
        <w:rPr>
          <w:rFonts w:ascii="Arial" w:eastAsiaTheme="minorEastAsia" w:hAnsi="Arial" w:cs="Arial"/>
          <w:color w:val="FF0000"/>
          <w:sz w:val="24"/>
          <w:szCs w:val="24"/>
        </w:rPr>
      </w:pPr>
      <w:r w:rsidRPr="003C5DEE">
        <w:rPr>
          <w:rFonts w:eastAsiaTheme="minorEastAsia" w:hAnsiTheme="minorHAnsi" w:cstheme="minorBidi"/>
          <w:noProof/>
        </w:rPr>
        <w:drawing>
          <wp:inline distT="0" distB="0" distL="0" distR="0" wp14:anchorId="74339C99" wp14:editId="7B0B9C54">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8D60B62" w14:textId="77777777" w:rsidR="003C5DEE" w:rsidRPr="003C5DEE" w:rsidRDefault="003C5DEE" w:rsidP="003C5DEE">
      <w:pPr>
        <w:rPr>
          <w:rFonts w:ascii="Arial" w:eastAsiaTheme="minorEastAsia" w:hAnsi="Arial" w:cs="Arial"/>
          <w:sz w:val="20"/>
          <w:szCs w:val="20"/>
        </w:rPr>
      </w:pPr>
      <w:r w:rsidRPr="003C5DEE">
        <w:rPr>
          <w:rFonts w:ascii="Arial" w:eastAsiaTheme="minorEastAsia" w:hAnsi="Arial" w:cs="Arial"/>
          <w:sz w:val="20"/>
          <w:szCs w:val="20"/>
        </w:rPr>
        <w:t>*2018 figure based on 9 months data only and will be updated in the next report</w:t>
      </w:r>
    </w:p>
    <w:p w14:paraId="04699E44" w14:textId="77777777" w:rsidR="003C5DEE" w:rsidRPr="003C5DEE" w:rsidRDefault="003C5DEE" w:rsidP="003C5DEE">
      <w:pPr>
        <w:numPr>
          <w:ilvl w:val="0"/>
          <w:numId w:val="1"/>
        </w:numPr>
        <w:contextualSpacing/>
        <w:rPr>
          <w:rFonts w:ascii="Arial" w:eastAsiaTheme="minorEastAsia" w:hAnsi="Arial" w:cs="Arial"/>
          <w:b/>
          <w:sz w:val="24"/>
          <w:szCs w:val="24"/>
        </w:rPr>
      </w:pPr>
      <w:r w:rsidRPr="003C5DEE">
        <w:rPr>
          <w:rFonts w:ascii="Arial" w:eastAsiaTheme="minorEastAsia" w:hAnsi="Arial" w:cs="Arial"/>
          <w:b/>
          <w:sz w:val="24"/>
          <w:szCs w:val="24"/>
        </w:rPr>
        <w:t>Service Provided</w:t>
      </w:r>
    </w:p>
    <w:p w14:paraId="0994F1A7" w14:textId="77777777" w:rsidR="00BD01A9" w:rsidRDefault="003C5DEE" w:rsidP="003C5DEE">
      <w:pPr>
        <w:rPr>
          <w:rFonts w:ascii="Arial" w:eastAsiaTheme="minorEastAsia" w:hAnsi="Arial" w:cs="Arial"/>
          <w:sz w:val="24"/>
          <w:szCs w:val="24"/>
        </w:rPr>
      </w:pPr>
      <w:r w:rsidRPr="003C5DEE">
        <w:rPr>
          <w:rFonts w:ascii="Arial" w:eastAsiaTheme="minorEastAsia" w:hAnsi="Arial" w:cs="Arial"/>
          <w:sz w:val="24"/>
          <w:szCs w:val="24"/>
        </w:rPr>
        <w:t xml:space="preserve">The majority of clients receive a “standard” series of counselling sessions; however, two bespoke services are also available: TREE (Talk, Restore, Enable, Empower) for those affected by sexual violence, and HAVEN (Harassment </w:t>
      </w:r>
      <w:proofErr w:type="gramStart"/>
      <w:r w:rsidRPr="003C5DEE">
        <w:rPr>
          <w:rFonts w:ascii="Arial" w:eastAsiaTheme="minorEastAsia" w:hAnsi="Arial" w:cs="Arial"/>
          <w:sz w:val="24"/>
          <w:szCs w:val="24"/>
        </w:rPr>
        <w:t>And</w:t>
      </w:r>
      <w:proofErr w:type="gramEnd"/>
      <w:r w:rsidRPr="003C5DEE">
        <w:rPr>
          <w:rFonts w:ascii="Arial" w:eastAsiaTheme="minorEastAsia" w:hAnsi="Arial" w:cs="Arial"/>
          <w:sz w:val="24"/>
          <w:szCs w:val="24"/>
        </w:rPr>
        <w:t xml:space="preserve"> Violence Ends Now) for domestic violence victims. </w:t>
      </w:r>
      <w:r w:rsidR="00AD10FA">
        <w:rPr>
          <w:rFonts w:ascii="Arial" w:eastAsiaTheme="minorEastAsia" w:hAnsi="Arial" w:cs="Arial"/>
          <w:sz w:val="24"/>
          <w:szCs w:val="24"/>
        </w:rPr>
        <w:t xml:space="preserve">Whilst TREE has not had sufficient demand to run in 2018, the numbers receiving the HAVEN service has risen dramatically in 2018. </w:t>
      </w:r>
      <w:r w:rsidRPr="003C5DEE">
        <w:rPr>
          <w:rFonts w:ascii="Arial" w:eastAsiaTheme="minorEastAsia" w:hAnsi="Arial" w:cs="Arial"/>
          <w:sz w:val="24"/>
          <w:szCs w:val="24"/>
        </w:rPr>
        <w:t xml:space="preserve">The table below provides this breakdown over the </w:t>
      </w:r>
      <w:r w:rsidR="00AD10FA">
        <w:rPr>
          <w:rFonts w:ascii="Arial" w:eastAsiaTheme="minorEastAsia" w:hAnsi="Arial" w:cs="Arial"/>
          <w:sz w:val="24"/>
          <w:szCs w:val="24"/>
        </w:rPr>
        <w:t>nine</w:t>
      </w:r>
      <w:r w:rsidRPr="003C5DEE">
        <w:rPr>
          <w:rFonts w:ascii="Arial" w:eastAsiaTheme="minorEastAsia" w:hAnsi="Arial" w:cs="Arial"/>
          <w:sz w:val="24"/>
          <w:szCs w:val="24"/>
        </w:rPr>
        <w:t xml:space="preserve"> years 2010-201</w:t>
      </w:r>
      <w:r w:rsidR="00AD10FA">
        <w:rPr>
          <w:rFonts w:ascii="Arial" w:eastAsiaTheme="minorEastAsia" w:hAnsi="Arial" w:cs="Arial"/>
          <w:sz w:val="24"/>
          <w:szCs w:val="24"/>
        </w:rPr>
        <w:t>8</w:t>
      </w:r>
      <w:r w:rsidRPr="003C5DEE">
        <w:rPr>
          <w:rFonts w:ascii="Arial" w:eastAsiaTheme="minorEastAsia" w:hAnsi="Arial" w:cs="Arial"/>
          <w:sz w:val="24"/>
          <w:szCs w:val="24"/>
        </w:rPr>
        <w:t>.</w:t>
      </w:r>
    </w:p>
    <w:tbl>
      <w:tblPr>
        <w:tblStyle w:val="TableGrid"/>
        <w:tblW w:w="0" w:type="auto"/>
        <w:tblInd w:w="2122" w:type="dxa"/>
        <w:tblLook w:val="04A0" w:firstRow="1" w:lastRow="0" w:firstColumn="1" w:lastColumn="0" w:noHBand="0" w:noVBand="1"/>
      </w:tblPr>
      <w:tblGrid>
        <w:gridCol w:w="2386"/>
        <w:gridCol w:w="1257"/>
        <w:gridCol w:w="1257"/>
      </w:tblGrid>
      <w:tr w:rsidR="003C5DEE" w:rsidRPr="003C5DEE" w14:paraId="66FFFA0E" w14:textId="77777777" w:rsidTr="0002316B">
        <w:tc>
          <w:tcPr>
            <w:tcW w:w="2386" w:type="dxa"/>
          </w:tcPr>
          <w:p w14:paraId="29120C6E" w14:textId="77777777" w:rsidR="003C5DEE" w:rsidRPr="003C5DEE" w:rsidRDefault="003C5DEE" w:rsidP="003C5DEE">
            <w:pPr>
              <w:rPr>
                <w:rFonts w:ascii="Arial" w:hAnsi="Arial" w:cs="Arial"/>
                <w:b/>
                <w:sz w:val="24"/>
                <w:szCs w:val="24"/>
              </w:rPr>
            </w:pPr>
            <w:r w:rsidRPr="003C5DEE">
              <w:rPr>
                <w:rFonts w:ascii="Arial" w:hAnsi="Arial" w:cs="Arial"/>
                <w:b/>
                <w:sz w:val="24"/>
                <w:szCs w:val="24"/>
              </w:rPr>
              <w:t>Service</w:t>
            </w:r>
          </w:p>
        </w:tc>
        <w:tc>
          <w:tcPr>
            <w:tcW w:w="1257" w:type="dxa"/>
          </w:tcPr>
          <w:p w14:paraId="3473A3F0" w14:textId="77777777" w:rsidR="003C5DEE" w:rsidRPr="003C5DEE" w:rsidRDefault="003C5DEE" w:rsidP="003C5DEE">
            <w:pPr>
              <w:rPr>
                <w:rFonts w:ascii="Arial" w:hAnsi="Arial" w:cs="Arial"/>
                <w:b/>
                <w:sz w:val="24"/>
                <w:szCs w:val="24"/>
              </w:rPr>
            </w:pPr>
            <w:r w:rsidRPr="003C5DEE">
              <w:rPr>
                <w:rFonts w:ascii="Arial" w:hAnsi="Arial" w:cs="Arial"/>
                <w:b/>
                <w:sz w:val="24"/>
                <w:szCs w:val="24"/>
              </w:rPr>
              <w:t>Referrals</w:t>
            </w:r>
          </w:p>
        </w:tc>
        <w:tc>
          <w:tcPr>
            <w:tcW w:w="1257" w:type="dxa"/>
          </w:tcPr>
          <w:p w14:paraId="53650F12" w14:textId="77777777" w:rsidR="003C5DEE" w:rsidRPr="003C5DEE" w:rsidRDefault="003C5DEE" w:rsidP="003C5DEE">
            <w:pPr>
              <w:rPr>
                <w:rFonts w:ascii="Arial" w:hAnsi="Arial" w:cs="Arial"/>
                <w:b/>
                <w:sz w:val="24"/>
                <w:szCs w:val="24"/>
              </w:rPr>
            </w:pPr>
            <w:r w:rsidRPr="003C5DEE">
              <w:rPr>
                <w:rFonts w:ascii="Arial" w:hAnsi="Arial" w:cs="Arial"/>
                <w:b/>
                <w:sz w:val="24"/>
                <w:szCs w:val="24"/>
              </w:rPr>
              <w:t>Starts</w:t>
            </w:r>
          </w:p>
        </w:tc>
      </w:tr>
      <w:tr w:rsidR="003C5DEE" w:rsidRPr="003C5DEE" w14:paraId="151818B2" w14:textId="77777777" w:rsidTr="0002316B">
        <w:tc>
          <w:tcPr>
            <w:tcW w:w="2386" w:type="dxa"/>
          </w:tcPr>
          <w:p w14:paraId="0528E719" w14:textId="77777777" w:rsidR="003C5DEE" w:rsidRPr="003C5DEE" w:rsidRDefault="003C5DEE" w:rsidP="003C5DEE">
            <w:pPr>
              <w:rPr>
                <w:rFonts w:ascii="Arial" w:hAnsi="Arial" w:cs="Arial"/>
              </w:rPr>
            </w:pPr>
            <w:r w:rsidRPr="003C5DEE">
              <w:rPr>
                <w:rFonts w:ascii="Arial" w:hAnsi="Arial" w:cs="Arial"/>
              </w:rPr>
              <w:t>Standard</w:t>
            </w:r>
          </w:p>
        </w:tc>
        <w:tc>
          <w:tcPr>
            <w:tcW w:w="1257" w:type="dxa"/>
          </w:tcPr>
          <w:p w14:paraId="0D364ECD" w14:textId="77777777" w:rsidR="003C5DEE" w:rsidRPr="003C5DEE" w:rsidRDefault="003C5DEE" w:rsidP="003C5DEE">
            <w:pPr>
              <w:rPr>
                <w:rFonts w:ascii="Arial" w:hAnsi="Arial" w:cs="Arial"/>
              </w:rPr>
            </w:pPr>
            <w:r w:rsidRPr="003C5DEE">
              <w:rPr>
                <w:rFonts w:ascii="Arial" w:hAnsi="Arial" w:cs="Arial"/>
              </w:rPr>
              <w:t>2368</w:t>
            </w:r>
          </w:p>
        </w:tc>
        <w:tc>
          <w:tcPr>
            <w:tcW w:w="1257" w:type="dxa"/>
          </w:tcPr>
          <w:p w14:paraId="7779C218" w14:textId="77777777" w:rsidR="003C5DEE" w:rsidRPr="003C5DEE" w:rsidRDefault="003C5DEE" w:rsidP="003C5DEE">
            <w:pPr>
              <w:rPr>
                <w:rFonts w:ascii="Arial" w:hAnsi="Arial" w:cs="Arial"/>
              </w:rPr>
            </w:pPr>
            <w:r w:rsidRPr="003C5DEE">
              <w:rPr>
                <w:rFonts w:ascii="Arial" w:hAnsi="Arial" w:cs="Arial"/>
              </w:rPr>
              <w:t>1715</w:t>
            </w:r>
          </w:p>
        </w:tc>
      </w:tr>
      <w:tr w:rsidR="003C5DEE" w:rsidRPr="003C5DEE" w14:paraId="7A797CC7" w14:textId="77777777" w:rsidTr="0002316B">
        <w:tc>
          <w:tcPr>
            <w:tcW w:w="2386" w:type="dxa"/>
          </w:tcPr>
          <w:p w14:paraId="58780F72" w14:textId="77777777" w:rsidR="003C5DEE" w:rsidRPr="003C5DEE" w:rsidRDefault="003C5DEE" w:rsidP="003C5DEE">
            <w:pPr>
              <w:rPr>
                <w:rFonts w:ascii="Arial" w:hAnsi="Arial" w:cs="Arial"/>
              </w:rPr>
            </w:pPr>
            <w:r w:rsidRPr="003C5DEE">
              <w:rPr>
                <w:rFonts w:ascii="Arial" w:hAnsi="Arial" w:cs="Arial"/>
              </w:rPr>
              <w:t>TREE</w:t>
            </w:r>
          </w:p>
        </w:tc>
        <w:tc>
          <w:tcPr>
            <w:tcW w:w="1257" w:type="dxa"/>
          </w:tcPr>
          <w:p w14:paraId="10F57DC1" w14:textId="77777777" w:rsidR="003C5DEE" w:rsidRPr="003C5DEE" w:rsidRDefault="003C5DEE" w:rsidP="003C5DEE">
            <w:pPr>
              <w:rPr>
                <w:rFonts w:ascii="Arial" w:hAnsi="Arial" w:cs="Arial"/>
              </w:rPr>
            </w:pPr>
            <w:r w:rsidRPr="003C5DEE">
              <w:rPr>
                <w:rFonts w:ascii="Arial" w:hAnsi="Arial" w:cs="Arial"/>
              </w:rPr>
              <w:t>43</w:t>
            </w:r>
          </w:p>
        </w:tc>
        <w:tc>
          <w:tcPr>
            <w:tcW w:w="1257" w:type="dxa"/>
          </w:tcPr>
          <w:p w14:paraId="34E619D3" w14:textId="77777777" w:rsidR="003C5DEE" w:rsidRPr="003C5DEE" w:rsidRDefault="003C5DEE" w:rsidP="003C5DEE">
            <w:pPr>
              <w:rPr>
                <w:rFonts w:ascii="Arial" w:hAnsi="Arial" w:cs="Arial"/>
              </w:rPr>
            </w:pPr>
            <w:r w:rsidRPr="003C5DEE">
              <w:rPr>
                <w:rFonts w:ascii="Arial" w:hAnsi="Arial" w:cs="Arial"/>
              </w:rPr>
              <w:t>43</w:t>
            </w:r>
          </w:p>
        </w:tc>
      </w:tr>
      <w:tr w:rsidR="003C5DEE" w:rsidRPr="003C5DEE" w14:paraId="6C69532B" w14:textId="77777777" w:rsidTr="0002316B">
        <w:tc>
          <w:tcPr>
            <w:tcW w:w="2386" w:type="dxa"/>
          </w:tcPr>
          <w:p w14:paraId="21B4E94A" w14:textId="77777777" w:rsidR="003C5DEE" w:rsidRPr="003C5DEE" w:rsidRDefault="003C5DEE" w:rsidP="003C5DEE">
            <w:pPr>
              <w:rPr>
                <w:rFonts w:ascii="Arial" w:hAnsi="Arial" w:cs="Arial"/>
              </w:rPr>
            </w:pPr>
            <w:r w:rsidRPr="003C5DEE">
              <w:rPr>
                <w:rFonts w:ascii="Arial" w:hAnsi="Arial" w:cs="Arial"/>
              </w:rPr>
              <w:t>Haven</w:t>
            </w:r>
          </w:p>
        </w:tc>
        <w:tc>
          <w:tcPr>
            <w:tcW w:w="1257" w:type="dxa"/>
          </w:tcPr>
          <w:p w14:paraId="34666D43" w14:textId="77777777" w:rsidR="003C5DEE" w:rsidRPr="003C5DEE" w:rsidRDefault="003C5DEE" w:rsidP="003C5DEE">
            <w:pPr>
              <w:rPr>
                <w:rFonts w:ascii="Arial" w:hAnsi="Arial" w:cs="Arial"/>
              </w:rPr>
            </w:pPr>
            <w:r w:rsidRPr="003C5DEE">
              <w:rPr>
                <w:rFonts w:ascii="Arial" w:hAnsi="Arial" w:cs="Arial"/>
              </w:rPr>
              <w:t>56</w:t>
            </w:r>
          </w:p>
        </w:tc>
        <w:tc>
          <w:tcPr>
            <w:tcW w:w="1257" w:type="dxa"/>
          </w:tcPr>
          <w:p w14:paraId="587A71B7" w14:textId="77777777" w:rsidR="003C5DEE" w:rsidRPr="003C5DEE" w:rsidRDefault="003C5DEE" w:rsidP="003C5DEE">
            <w:pPr>
              <w:rPr>
                <w:rFonts w:ascii="Arial" w:hAnsi="Arial" w:cs="Arial"/>
              </w:rPr>
            </w:pPr>
            <w:r w:rsidRPr="003C5DEE">
              <w:rPr>
                <w:rFonts w:ascii="Arial" w:hAnsi="Arial" w:cs="Arial"/>
              </w:rPr>
              <w:t>54</w:t>
            </w:r>
          </w:p>
        </w:tc>
      </w:tr>
    </w:tbl>
    <w:p w14:paraId="1FA882B9" w14:textId="77777777" w:rsidR="003C5DEE" w:rsidRPr="003C5DEE" w:rsidRDefault="003C5DEE" w:rsidP="003C5DEE">
      <w:pPr>
        <w:ind w:left="360"/>
        <w:contextualSpacing/>
        <w:rPr>
          <w:rFonts w:ascii="Arial" w:eastAsiaTheme="minorEastAsia" w:hAnsi="Arial" w:cs="Arial"/>
          <w:b/>
          <w:sz w:val="24"/>
          <w:szCs w:val="24"/>
        </w:rPr>
      </w:pPr>
    </w:p>
    <w:p w14:paraId="3B514BCC" w14:textId="77777777" w:rsidR="003C5DEE" w:rsidRPr="003C5DEE" w:rsidRDefault="003C5DEE" w:rsidP="003C5DEE">
      <w:pPr>
        <w:numPr>
          <w:ilvl w:val="0"/>
          <w:numId w:val="1"/>
        </w:numPr>
        <w:contextualSpacing/>
        <w:rPr>
          <w:rFonts w:ascii="Arial" w:eastAsiaTheme="minorEastAsia" w:hAnsi="Arial" w:cs="Arial"/>
          <w:b/>
          <w:sz w:val="24"/>
          <w:szCs w:val="24"/>
        </w:rPr>
      </w:pPr>
      <w:r w:rsidRPr="003C5DEE">
        <w:rPr>
          <w:rFonts w:ascii="Arial" w:eastAsiaTheme="minorEastAsia" w:hAnsi="Arial" w:cs="Arial"/>
          <w:b/>
          <w:sz w:val="24"/>
          <w:szCs w:val="24"/>
        </w:rPr>
        <w:t>Funding arrangements</w:t>
      </w:r>
    </w:p>
    <w:p w14:paraId="38D5A3E8" w14:textId="5CFB9D8F" w:rsidR="003C5DEE" w:rsidRPr="003C5DEE" w:rsidRDefault="003C5DEE" w:rsidP="003C5DEE">
      <w:pPr>
        <w:rPr>
          <w:rFonts w:ascii="Arial" w:eastAsiaTheme="minorEastAsia" w:hAnsi="Arial" w:cs="Arial"/>
          <w:color w:val="FF0000"/>
          <w:sz w:val="24"/>
          <w:szCs w:val="24"/>
        </w:rPr>
      </w:pPr>
      <w:r w:rsidRPr="003C5DEE">
        <w:rPr>
          <w:rFonts w:ascii="Arial" w:eastAsiaTheme="minorEastAsia" w:hAnsi="Arial" w:cs="Arial"/>
          <w:sz w:val="24"/>
          <w:szCs w:val="24"/>
        </w:rPr>
        <w:t>Grants have been received from a variety of sources in order to fund the services delivered by ESCAYP. The largest source of funding, 4</w:t>
      </w:r>
      <w:r w:rsidR="00A2230F">
        <w:rPr>
          <w:rFonts w:ascii="Arial" w:eastAsiaTheme="minorEastAsia" w:hAnsi="Arial" w:cs="Arial"/>
          <w:sz w:val="24"/>
          <w:szCs w:val="24"/>
        </w:rPr>
        <w:t>3</w:t>
      </w:r>
      <w:r w:rsidRPr="003C5DEE">
        <w:rPr>
          <w:rFonts w:ascii="Arial" w:eastAsiaTheme="minorEastAsia" w:hAnsi="Arial" w:cs="Arial"/>
          <w:sz w:val="24"/>
          <w:szCs w:val="24"/>
        </w:rPr>
        <w:t xml:space="preserve">%, is provided under contracts with schools for services, as shown in Chart 7. Big Lottery funded 36%, and Children in Need </w:t>
      </w:r>
      <w:r w:rsidR="00A2230F">
        <w:rPr>
          <w:rFonts w:ascii="Arial" w:eastAsiaTheme="minorEastAsia" w:hAnsi="Arial" w:cs="Arial"/>
          <w:sz w:val="24"/>
          <w:szCs w:val="24"/>
        </w:rPr>
        <w:t>21</w:t>
      </w:r>
      <w:r w:rsidRPr="003C5DEE">
        <w:rPr>
          <w:rFonts w:ascii="Arial" w:eastAsiaTheme="minorEastAsia" w:hAnsi="Arial" w:cs="Arial"/>
          <w:sz w:val="24"/>
          <w:szCs w:val="24"/>
        </w:rPr>
        <w:t xml:space="preserve">%.  </w:t>
      </w:r>
    </w:p>
    <w:p w14:paraId="76FDCA1A" w14:textId="77777777" w:rsidR="003C5DEE" w:rsidRPr="003C5DEE" w:rsidRDefault="003C5DEE" w:rsidP="003C5DEE">
      <w:pPr>
        <w:rPr>
          <w:rFonts w:ascii="Arial" w:eastAsiaTheme="minorEastAsia" w:hAnsi="Arial" w:cs="Arial"/>
          <w:color w:val="FF0000"/>
          <w:sz w:val="24"/>
          <w:szCs w:val="24"/>
        </w:rPr>
      </w:pPr>
    </w:p>
    <w:p w14:paraId="013F4AF3" w14:textId="77777777" w:rsidR="003C5DEE" w:rsidRPr="003C5DEE" w:rsidRDefault="003C5DEE" w:rsidP="003C5DEE">
      <w:pPr>
        <w:rPr>
          <w:rFonts w:ascii="Arial" w:eastAsiaTheme="minorEastAsia" w:hAnsi="Arial" w:cs="Arial"/>
          <w:b/>
          <w:sz w:val="24"/>
          <w:szCs w:val="24"/>
        </w:rPr>
      </w:pPr>
      <w:r w:rsidRPr="003C5DEE">
        <w:rPr>
          <w:rFonts w:ascii="Arial" w:eastAsiaTheme="minorEastAsia" w:hAnsi="Arial" w:cs="Arial"/>
          <w:b/>
          <w:noProof/>
          <w:sz w:val="24"/>
          <w:szCs w:val="24"/>
        </w:rPr>
        <w:drawing>
          <wp:inline distT="0" distB="0" distL="0" distR="0" wp14:anchorId="0779415F" wp14:editId="51CDA0EB">
            <wp:extent cx="5158740" cy="2773680"/>
            <wp:effectExtent l="0" t="0" r="3810" b="76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42AF75C" w14:textId="77777777" w:rsidR="003C5DEE" w:rsidRPr="003C5DEE" w:rsidRDefault="003C5DEE" w:rsidP="003C5DEE">
      <w:pPr>
        <w:rPr>
          <w:rFonts w:ascii="Arial" w:eastAsiaTheme="minorEastAsia" w:hAnsi="Arial" w:cs="Arial"/>
          <w:sz w:val="20"/>
          <w:szCs w:val="20"/>
        </w:rPr>
      </w:pPr>
      <w:r w:rsidRPr="003C5DEE">
        <w:rPr>
          <w:rFonts w:ascii="Arial" w:eastAsiaTheme="minorEastAsia" w:hAnsi="Arial" w:cs="Arial"/>
          <w:sz w:val="20"/>
          <w:szCs w:val="20"/>
        </w:rPr>
        <w:t>*2018 figure based on 9 months data only and will be updated in the next report</w:t>
      </w:r>
    </w:p>
    <w:p w14:paraId="2F606F46" w14:textId="77777777" w:rsidR="003C5DEE" w:rsidRPr="003C5DEE" w:rsidRDefault="003C5DEE" w:rsidP="003C5DEE">
      <w:pPr>
        <w:rPr>
          <w:rFonts w:ascii="Arial" w:eastAsiaTheme="minorEastAsia" w:hAnsi="Arial" w:cs="Arial"/>
          <w:b/>
          <w:sz w:val="24"/>
          <w:szCs w:val="24"/>
        </w:rPr>
      </w:pPr>
    </w:p>
    <w:p w14:paraId="7C212013" w14:textId="77777777" w:rsidR="00AC17C0" w:rsidRDefault="003C5DEE" w:rsidP="00AC17C0">
      <w:pPr>
        <w:numPr>
          <w:ilvl w:val="0"/>
          <w:numId w:val="1"/>
        </w:numPr>
        <w:contextualSpacing/>
        <w:rPr>
          <w:rFonts w:ascii="Arial" w:eastAsiaTheme="minorEastAsia" w:hAnsi="Arial" w:cs="Arial"/>
          <w:b/>
          <w:sz w:val="24"/>
          <w:szCs w:val="24"/>
        </w:rPr>
      </w:pPr>
      <w:r w:rsidRPr="003C5DEE">
        <w:rPr>
          <w:rFonts w:ascii="Arial" w:eastAsiaTheme="minorEastAsia" w:hAnsi="Arial" w:cs="Arial"/>
          <w:b/>
          <w:sz w:val="24"/>
          <w:szCs w:val="24"/>
        </w:rPr>
        <w:t xml:space="preserve"> </w:t>
      </w:r>
      <w:r w:rsidR="00AC17C0">
        <w:rPr>
          <w:rFonts w:ascii="Arial" w:eastAsiaTheme="minorEastAsia" w:hAnsi="Arial" w:cs="Arial"/>
          <w:b/>
          <w:sz w:val="24"/>
          <w:szCs w:val="24"/>
        </w:rPr>
        <w:t>Withdrawals</w:t>
      </w:r>
    </w:p>
    <w:p w14:paraId="4EFBAE71" w14:textId="18CE8465" w:rsidR="00AC17C0" w:rsidRDefault="00AC17C0" w:rsidP="00AC17C0">
      <w:pPr>
        <w:contextualSpacing/>
        <w:rPr>
          <w:rFonts w:ascii="Arial" w:eastAsiaTheme="minorEastAsia" w:hAnsi="Arial" w:cs="Arial"/>
          <w:b/>
          <w:sz w:val="24"/>
          <w:szCs w:val="24"/>
        </w:rPr>
      </w:pPr>
      <w:r>
        <w:rPr>
          <w:rFonts w:ascii="Arial" w:eastAsiaTheme="minorEastAsia" w:hAnsi="Arial" w:cs="Arial"/>
          <w:sz w:val="24"/>
          <w:szCs w:val="24"/>
        </w:rPr>
        <w:t>The numbers of referrals withdrawn before the first session has continued to fall</w:t>
      </w:r>
      <w:r w:rsidR="0002316B">
        <w:rPr>
          <w:rFonts w:ascii="Arial" w:eastAsiaTheme="minorEastAsia" w:hAnsi="Arial" w:cs="Arial"/>
          <w:sz w:val="24"/>
          <w:szCs w:val="24"/>
        </w:rPr>
        <w:t xml:space="preserve"> from a high of 25% of all referrals in 2016 to only 12% in 2018.  </w:t>
      </w:r>
      <w:r w:rsidR="009F163B">
        <w:rPr>
          <w:rFonts w:ascii="Arial" w:eastAsiaTheme="minorEastAsia" w:hAnsi="Arial" w:cs="Arial"/>
          <w:sz w:val="24"/>
          <w:szCs w:val="24"/>
        </w:rPr>
        <w:t>The 2018 figure will alter when full-year results are known.</w:t>
      </w:r>
      <w:r>
        <w:rPr>
          <w:rFonts w:ascii="Arial" w:eastAsiaTheme="minorEastAsia" w:hAnsi="Arial" w:cs="Arial"/>
          <w:b/>
          <w:sz w:val="24"/>
          <w:szCs w:val="24"/>
        </w:rPr>
        <w:br/>
      </w:r>
      <w:r>
        <w:rPr>
          <w:rFonts w:ascii="Arial" w:eastAsiaTheme="minorEastAsia" w:hAnsi="Arial" w:cs="Arial"/>
          <w:b/>
          <w:sz w:val="24"/>
          <w:szCs w:val="24"/>
        </w:rPr>
        <w:br/>
      </w:r>
    </w:p>
    <w:p w14:paraId="21999032" w14:textId="5A2EC300" w:rsidR="003C5DEE" w:rsidRPr="003C5DEE" w:rsidRDefault="003C5DEE" w:rsidP="003C5DEE">
      <w:pPr>
        <w:numPr>
          <w:ilvl w:val="0"/>
          <w:numId w:val="1"/>
        </w:numPr>
        <w:contextualSpacing/>
        <w:rPr>
          <w:rFonts w:ascii="Arial" w:eastAsiaTheme="minorEastAsia" w:hAnsi="Arial" w:cs="Arial"/>
          <w:b/>
          <w:sz w:val="24"/>
          <w:szCs w:val="24"/>
        </w:rPr>
      </w:pPr>
      <w:r w:rsidRPr="003C5DEE">
        <w:rPr>
          <w:rFonts w:ascii="Arial" w:eastAsiaTheme="minorEastAsia" w:hAnsi="Arial" w:cs="Arial"/>
          <w:b/>
          <w:sz w:val="24"/>
          <w:szCs w:val="24"/>
        </w:rPr>
        <w:t>Presenting issues</w:t>
      </w:r>
    </w:p>
    <w:p w14:paraId="1B3D97BF" w14:textId="51EC089D" w:rsidR="003C5DEE" w:rsidRDefault="003C5DEE" w:rsidP="003C5DEE">
      <w:pPr>
        <w:rPr>
          <w:rFonts w:ascii="Arial" w:eastAsiaTheme="minorEastAsia" w:hAnsi="Arial" w:cs="Arial"/>
          <w:sz w:val="24"/>
          <w:szCs w:val="24"/>
        </w:rPr>
      </w:pPr>
      <w:r w:rsidRPr="003C5DEE">
        <w:rPr>
          <w:rFonts w:ascii="Arial" w:eastAsiaTheme="minorEastAsia" w:hAnsi="Arial" w:cs="Arial"/>
          <w:sz w:val="24"/>
          <w:szCs w:val="24"/>
        </w:rPr>
        <w:t xml:space="preserve">The data in Chart 8 has been </w:t>
      </w:r>
      <w:r w:rsidR="00A2230F">
        <w:rPr>
          <w:rFonts w:ascii="Arial" w:eastAsiaTheme="minorEastAsia" w:hAnsi="Arial" w:cs="Arial"/>
          <w:sz w:val="24"/>
          <w:szCs w:val="24"/>
        </w:rPr>
        <w:t xml:space="preserve">updated.  Overall, for most </w:t>
      </w:r>
      <w:r w:rsidR="000960B1">
        <w:rPr>
          <w:rFonts w:ascii="Arial" w:eastAsiaTheme="minorEastAsia" w:hAnsi="Arial" w:cs="Arial"/>
          <w:sz w:val="24"/>
          <w:szCs w:val="24"/>
        </w:rPr>
        <w:t>categories</w:t>
      </w:r>
      <w:bookmarkStart w:id="1" w:name="_GoBack"/>
      <w:bookmarkEnd w:id="1"/>
      <w:r w:rsidR="00A2230F">
        <w:rPr>
          <w:rFonts w:ascii="Arial" w:eastAsiaTheme="minorEastAsia" w:hAnsi="Arial" w:cs="Arial"/>
          <w:sz w:val="24"/>
          <w:szCs w:val="24"/>
        </w:rPr>
        <w:t>, the percentage of children presenting with that issue has reduced slightly</w:t>
      </w:r>
      <w:r w:rsidR="005C3E78">
        <w:rPr>
          <w:rFonts w:ascii="Arial" w:eastAsiaTheme="minorEastAsia" w:hAnsi="Arial" w:cs="Arial"/>
          <w:sz w:val="24"/>
          <w:szCs w:val="24"/>
        </w:rPr>
        <w:t xml:space="preserve"> since Report 13</w:t>
      </w:r>
      <w:r w:rsidR="00A2230F">
        <w:rPr>
          <w:rFonts w:ascii="Arial" w:eastAsiaTheme="minorEastAsia" w:hAnsi="Arial" w:cs="Arial"/>
          <w:sz w:val="24"/>
          <w:szCs w:val="24"/>
        </w:rPr>
        <w:t>.  Anxiety and family difficulties continue to be the most prevalent, and with exception of health and self-harm, all remain above the levels observed in 2014.</w:t>
      </w:r>
      <w:r w:rsidR="00AC17C0">
        <w:rPr>
          <w:rFonts w:ascii="Arial" w:eastAsiaTheme="minorEastAsia" w:hAnsi="Arial" w:cs="Arial"/>
          <w:sz w:val="24"/>
          <w:szCs w:val="24"/>
        </w:rPr>
        <w:t xml:space="preserve">  The next report will look at any changes observed in 2018.</w:t>
      </w:r>
    </w:p>
    <w:p w14:paraId="7345C634" w14:textId="34511D80" w:rsidR="00AC17C0" w:rsidRPr="003C5DEE" w:rsidRDefault="00AC17C0" w:rsidP="003C5DEE">
      <w:pPr>
        <w:rPr>
          <w:rFonts w:ascii="Arial" w:eastAsiaTheme="minorEastAsia" w:hAnsi="Arial" w:cs="Arial"/>
          <w:sz w:val="24"/>
          <w:szCs w:val="24"/>
        </w:rPr>
      </w:pPr>
      <w:r>
        <w:rPr>
          <w:rFonts w:ascii="Arial" w:eastAsiaTheme="minorEastAsia" w:hAnsi="Arial" w:cs="Arial"/>
          <w:sz w:val="24"/>
          <w:szCs w:val="24"/>
        </w:rPr>
        <w:t>Differences in profile between boys and girls, and among Asian children, are examined later in this report.</w:t>
      </w:r>
    </w:p>
    <w:p w14:paraId="376AFCC5" w14:textId="7BE4C9CE" w:rsidR="000B59CA" w:rsidRDefault="003C5DEE">
      <w:r>
        <w:rPr>
          <w:noProof/>
        </w:rPr>
        <w:drawing>
          <wp:inline distT="0" distB="0" distL="0" distR="0" wp14:anchorId="125E9E89" wp14:editId="7A199464">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31EE324" w14:textId="22FCA6EF" w:rsidR="00E50D2D" w:rsidRDefault="00E50D2D"/>
    <w:p w14:paraId="0AE02742" w14:textId="77777777" w:rsidR="00E50D2D" w:rsidRDefault="00E50D2D" w:rsidP="00E50D2D">
      <w:pPr>
        <w:pStyle w:val="ListParagraph"/>
        <w:numPr>
          <w:ilvl w:val="0"/>
          <w:numId w:val="1"/>
        </w:numPr>
        <w:rPr>
          <w:rFonts w:ascii="Arial" w:hAnsi="Arial" w:cs="Arial"/>
          <w:b/>
          <w:sz w:val="24"/>
          <w:szCs w:val="24"/>
        </w:rPr>
      </w:pPr>
      <w:r w:rsidRPr="00A40E37">
        <w:rPr>
          <w:rFonts w:ascii="Arial" w:hAnsi="Arial" w:cs="Arial"/>
          <w:b/>
          <w:sz w:val="24"/>
          <w:szCs w:val="24"/>
        </w:rPr>
        <w:t>Waiting times</w:t>
      </w:r>
    </w:p>
    <w:p w14:paraId="544EB8A3" w14:textId="2972AC27" w:rsidR="00E50D2D" w:rsidRDefault="00E50D2D" w:rsidP="00E50D2D">
      <w:pPr>
        <w:rPr>
          <w:rFonts w:ascii="Arial" w:hAnsi="Arial" w:cs="Arial"/>
          <w:sz w:val="24"/>
          <w:szCs w:val="24"/>
        </w:rPr>
      </w:pPr>
      <w:r>
        <w:rPr>
          <w:rFonts w:ascii="Arial" w:hAnsi="Arial" w:cs="Arial"/>
          <w:sz w:val="24"/>
          <w:szCs w:val="24"/>
        </w:rPr>
        <w:t xml:space="preserve">The number of days spent waiting between first referral is in part dependent upon funding issues, and at times when funds have been scarce or uncertain in the short-term, waiting-times have tended to rise.  The </w:t>
      </w:r>
      <w:r w:rsidR="009F163B">
        <w:rPr>
          <w:rFonts w:ascii="Arial" w:hAnsi="Arial" w:cs="Arial"/>
          <w:sz w:val="24"/>
          <w:szCs w:val="24"/>
        </w:rPr>
        <w:t>2017</w:t>
      </w:r>
      <w:r>
        <w:rPr>
          <w:rFonts w:ascii="Arial" w:hAnsi="Arial" w:cs="Arial"/>
          <w:sz w:val="24"/>
          <w:szCs w:val="24"/>
        </w:rPr>
        <w:t xml:space="preserve"> average of 3</w:t>
      </w:r>
      <w:r w:rsidR="009F163B">
        <w:rPr>
          <w:rFonts w:ascii="Arial" w:hAnsi="Arial" w:cs="Arial"/>
          <w:sz w:val="24"/>
          <w:szCs w:val="24"/>
        </w:rPr>
        <w:t>8.5</w:t>
      </w:r>
      <w:r>
        <w:rPr>
          <w:rFonts w:ascii="Arial" w:hAnsi="Arial" w:cs="Arial"/>
          <w:sz w:val="24"/>
          <w:szCs w:val="24"/>
        </w:rPr>
        <w:t xml:space="preserve"> days is a reduction on 2016</w:t>
      </w:r>
      <w:r w:rsidR="009F163B">
        <w:rPr>
          <w:rFonts w:ascii="Arial" w:hAnsi="Arial" w:cs="Arial"/>
          <w:sz w:val="24"/>
          <w:szCs w:val="24"/>
        </w:rPr>
        <w:t xml:space="preserve">, and the 2018 figure of 48.3 days is </w:t>
      </w:r>
      <w:r w:rsidR="005C3E78">
        <w:rPr>
          <w:rFonts w:ascii="Arial" w:hAnsi="Arial" w:cs="Arial"/>
          <w:sz w:val="24"/>
          <w:szCs w:val="24"/>
        </w:rPr>
        <w:t>provisional only</w:t>
      </w:r>
      <w:r>
        <w:rPr>
          <w:rFonts w:ascii="Arial" w:hAnsi="Arial" w:cs="Arial"/>
          <w:sz w:val="24"/>
          <w:szCs w:val="24"/>
        </w:rPr>
        <w:t xml:space="preserve">.  </w:t>
      </w:r>
    </w:p>
    <w:p w14:paraId="519CE3E8" w14:textId="06410BA3" w:rsidR="00E50D2D" w:rsidRDefault="00E50D2D">
      <w:r>
        <w:rPr>
          <w:noProof/>
        </w:rPr>
        <w:drawing>
          <wp:inline distT="0" distB="0" distL="0" distR="0" wp14:anchorId="291545CE" wp14:editId="481D4CE9">
            <wp:extent cx="5486400" cy="3200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DFC1652" w14:textId="77777777" w:rsidR="009F163B" w:rsidRPr="003C5DEE" w:rsidRDefault="009F163B" w:rsidP="009F163B">
      <w:pPr>
        <w:rPr>
          <w:rFonts w:ascii="Arial" w:eastAsiaTheme="minorEastAsia" w:hAnsi="Arial" w:cs="Arial"/>
          <w:sz w:val="20"/>
          <w:szCs w:val="20"/>
        </w:rPr>
      </w:pPr>
      <w:r w:rsidRPr="003C5DEE">
        <w:rPr>
          <w:rFonts w:ascii="Arial" w:eastAsiaTheme="minorEastAsia" w:hAnsi="Arial" w:cs="Arial"/>
          <w:sz w:val="20"/>
          <w:szCs w:val="20"/>
        </w:rPr>
        <w:t>*2018 figure based on 9 months data only and will be updated in the next report</w:t>
      </w:r>
    </w:p>
    <w:p w14:paraId="08682264" w14:textId="500896DE" w:rsidR="009F163B" w:rsidRDefault="009F163B">
      <w:pPr>
        <w:rPr>
          <w:rFonts w:ascii="Arial" w:hAnsi="Arial" w:cs="Arial"/>
          <w:sz w:val="24"/>
          <w:szCs w:val="24"/>
        </w:rPr>
      </w:pPr>
      <w:r>
        <w:rPr>
          <w:rFonts w:ascii="Arial" w:hAnsi="Arial" w:cs="Arial"/>
          <w:sz w:val="24"/>
          <w:szCs w:val="24"/>
        </w:rPr>
        <w:t>For the first time, Chart 9 shows the average waiting times from referral to the start date first offered, as opposed to the actual start date</w:t>
      </w:r>
      <w:r w:rsidR="000D2836">
        <w:rPr>
          <w:rFonts w:ascii="Arial" w:hAnsi="Arial" w:cs="Arial"/>
          <w:sz w:val="24"/>
          <w:szCs w:val="24"/>
        </w:rPr>
        <w:t>, which, with exception of the provisional 2018 figures, is 8-10% shorter.</w:t>
      </w:r>
    </w:p>
    <w:p w14:paraId="749097D7" w14:textId="6A1E0119" w:rsidR="000D2836" w:rsidRDefault="000D2836">
      <w:pPr>
        <w:rPr>
          <w:rFonts w:ascii="Arial" w:hAnsi="Arial" w:cs="Arial"/>
          <w:sz w:val="24"/>
          <w:szCs w:val="24"/>
        </w:rPr>
      </w:pPr>
    </w:p>
    <w:p w14:paraId="21CD8579" w14:textId="77777777" w:rsidR="000D2836" w:rsidRDefault="000D2836" w:rsidP="000D2836">
      <w:pPr>
        <w:pStyle w:val="ListParagraph"/>
        <w:numPr>
          <w:ilvl w:val="0"/>
          <w:numId w:val="1"/>
        </w:numPr>
        <w:rPr>
          <w:rFonts w:ascii="Arial" w:hAnsi="Arial" w:cs="Arial"/>
          <w:b/>
          <w:sz w:val="24"/>
          <w:szCs w:val="24"/>
        </w:rPr>
      </w:pPr>
      <w:r w:rsidRPr="00234C88">
        <w:rPr>
          <w:rFonts w:ascii="Arial" w:hAnsi="Arial" w:cs="Arial"/>
          <w:b/>
          <w:sz w:val="24"/>
          <w:szCs w:val="24"/>
        </w:rPr>
        <w:t xml:space="preserve">Sessions </w:t>
      </w:r>
      <w:r>
        <w:rPr>
          <w:rFonts w:ascii="Arial" w:hAnsi="Arial" w:cs="Arial"/>
          <w:b/>
          <w:sz w:val="24"/>
          <w:szCs w:val="24"/>
        </w:rPr>
        <w:t>and Attendance Rates</w:t>
      </w:r>
    </w:p>
    <w:p w14:paraId="1C1D0ECD" w14:textId="5BE56061" w:rsidR="000D2836" w:rsidRDefault="009960EB">
      <w:pPr>
        <w:rPr>
          <w:rFonts w:ascii="Arial" w:hAnsi="Arial" w:cs="Arial"/>
          <w:sz w:val="24"/>
          <w:szCs w:val="24"/>
        </w:rPr>
      </w:pPr>
      <w:r>
        <w:rPr>
          <w:rFonts w:ascii="Arial" w:hAnsi="Arial" w:cs="Arial"/>
          <w:noProof/>
          <w:sz w:val="24"/>
          <w:szCs w:val="24"/>
        </w:rPr>
        <w:drawing>
          <wp:inline distT="0" distB="0" distL="0" distR="0" wp14:anchorId="09AF404F" wp14:editId="3E440E70">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6E03FA5" w14:textId="73C07977" w:rsidR="00A86BBE" w:rsidRDefault="00A86BBE" w:rsidP="00A86BBE">
      <w:pPr>
        <w:rPr>
          <w:rFonts w:ascii="Arial" w:hAnsi="Arial" w:cs="Arial"/>
          <w:sz w:val="24"/>
          <w:szCs w:val="24"/>
        </w:rPr>
      </w:pPr>
      <w:r w:rsidRPr="00715E1E">
        <w:rPr>
          <w:rFonts w:ascii="Arial" w:hAnsi="Arial" w:cs="Arial"/>
          <w:sz w:val="24"/>
          <w:szCs w:val="24"/>
        </w:rPr>
        <w:t xml:space="preserve">Chart 10 shows the total number of sessions (both “normal” and “extra”) offered each year, together with the number delivered.  </w:t>
      </w:r>
      <w:r>
        <w:rPr>
          <w:rFonts w:ascii="Arial" w:hAnsi="Arial" w:cs="Arial"/>
          <w:sz w:val="24"/>
          <w:szCs w:val="24"/>
        </w:rPr>
        <w:t xml:space="preserve">These figures represent sessions offered to and attended by those </w:t>
      </w:r>
      <w:r w:rsidRPr="00A86BBE">
        <w:rPr>
          <w:rFonts w:ascii="Arial" w:hAnsi="Arial" w:cs="Arial"/>
          <w:sz w:val="24"/>
          <w:szCs w:val="24"/>
          <w:u w:val="single"/>
        </w:rPr>
        <w:t>starting</w:t>
      </w:r>
      <w:r>
        <w:rPr>
          <w:rFonts w:ascii="Arial" w:hAnsi="Arial" w:cs="Arial"/>
          <w:sz w:val="24"/>
          <w:szCs w:val="24"/>
        </w:rPr>
        <w:t xml:space="preserve"> in each of the years shown</w:t>
      </w:r>
      <w:r w:rsidR="005C3E78">
        <w:rPr>
          <w:rFonts w:ascii="Arial" w:hAnsi="Arial" w:cs="Arial"/>
          <w:sz w:val="24"/>
          <w:szCs w:val="24"/>
        </w:rPr>
        <w:t>.</w:t>
      </w:r>
    </w:p>
    <w:p w14:paraId="376A68D9" w14:textId="5F87AA8D" w:rsidR="00A86BBE" w:rsidRPr="00715E1E" w:rsidRDefault="00A86BBE" w:rsidP="00A86BBE">
      <w:pPr>
        <w:rPr>
          <w:rFonts w:ascii="Arial" w:hAnsi="Arial" w:cs="Arial"/>
          <w:sz w:val="24"/>
          <w:szCs w:val="24"/>
        </w:rPr>
      </w:pPr>
      <w:r>
        <w:rPr>
          <w:rFonts w:ascii="Arial" w:hAnsi="Arial" w:cs="Arial"/>
          <w:noProof/>
          <w:sz w:val="24"/>
          <w:szCs w:val="24"/>
        </w:rPr>
        <w:drawing>
          <wp:inline distT="0" distB="0" distL="0" distR="0" wp14:anchorId="72A6D5A3" wp14:editId="27D5E5B5">
            <wp:extent cx="5486400" cy="2567940"/>
            <wp:effectExtent l="0" t="0" r="0" b="381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977B6C0" w14:textId="53CD989D" w:rsidR="000D2836" w:rsidRDefault="000D2836">
      <w:pPr>
        <w:rPr>
          <w:rFonts w:ascii="Arial" w:hAnsi="Arial" w:cs="Arial"/>
          <w:sz w:val="24"/>
          <w:szCs w:val="24"/>
        </w:rPr>
      </w:pPr>
      <w:r w:rsidRPr="00234C88">
        <w:rPr>
          <w:rFonts w:ascii="Arial" w:hAnsi="Arial" w:cs="Arial"/>
          <w:sz w:val="24"/>
          <w:szCs w:val="24"/>
        </w:rPr>
        <w:t xml:space="preserve">Chart </w:t>
      </w:r>
      <w:r>
        <w:rPr>
          <w:rFonts w:ascii="Arial" w:hAnsi="Arial" w:cs="Arial"/>
          <w:sz w:val="24"/>
          <w:szCs w:val="24"/>
        </w:rPr>
        <w:t xml:space="preserve">11 </w:t>
      </w:r>
      <w:r w:rsidR="00990209">
        <w:rPr>
          <w:rFonts w:ascii="Arial" w:hAnsi="Arial" w:cs="Arial"/>
          <w:sz w:val="24"/>
          <w:szCs w:val="24"/>
        </w:rPr>
        <w:t xml:space="preserve">similarly </w:t>
      </w:r>
      <w:r>
        <w:rPr>
          <w:rFonts w:ascii="Arial" w:hAnsi="Arial" w:cs="Arial"/>
          <w:sz w:val="24"/>
          <w:szCs w:val="24"/>
        </w:rPr>
        <w:t>shows, for normal sessions only, the average attendance rate</w:t>
      </w:r>
      <w:r w:rsidR="00990209">
        <w:rPr>
          <w:rFonts w:ascii="Arial" w:hAnsi="Arial" w:cs="Arial"/>
          <w:sz w:val="24"/>
          <w:szCs w:val="24"/>
        </w:rPr>
        <w:t xml:space="preserve"> of those starting in the year shown, which smooths out the curve; inevitably figures for the current year will be poorer at this stage.</w:t>
      </w:r>
      <w:r>
        <w:rPr>
          <w:rFonts w:ascii="Arial" w:hAnsi="Arial" w:cs="Arial"/>
          <w:sz w:val="24"/>
          <w:szCs w:val="24"/>
        </w:rPr>
        <w:t xml:space="preserve">  It should be noted that the number offered is fixed at the beginning of counselling, and that the number actually delivered may be lower as a result of mutual agreement during the counselling sessions: this will result in a lower attendance rate.  The downwards trend is therefore not necessarily a negative service trend, but may result from a more efficient use of resources in those cases where it is clear that fewer sessions are actually required.  A way of exploring this factor is </w:t>
      </w:r>
      <w:r w:rsidR="00990209">
        <w:rPr>
          <w:rFonts w:ascii="Arial" w:hAnsi="Arial" w:cs="Arial"/>
          <w:sz w:val="24"/>
          <w:szCs w:val="24"/>
        </w:rPr>
        <w:t xml:space="preserve">still </w:t>
      </w:r>
      <w:r>
        <w:rPr>
          <w:rFonts w:ascii="Arial" w:hAnsi="Arial" w:cs="Arial"/>
          <w:sz w:val="24"/>
          <w:szCs w:val="24"/>
        </w:rPr>
        <w:t>being explored.</w:t>
      </w:r>
    </w:p>
    <w:p w14:paraId="5CD80316" w14:textId="2BAC7CF8" w:rsidR="00BB6282" w:rsidRDefault="00BB6282">
      <w:pPr>
        <w:rPr>
          <w:rFonts w:ascii="Arial" w:hAnsi="Arial" w:cs="Arial"/>
          <w:sz w:val="24"/>
          <w:szCs w:val="24"/>
        </w:rPr>
      </w:pPr>
      <w:r>
        <w:rPr>
          <w:rFonts w:ascii="Arial" w:hAnsi="Arial" w:cs="Arial"/>
          <w:noProof/>
          <w:sz w:val="24"/>
          <w:szCs w:val="24"/>
        </w:rPr>
        <w:drawing>
          <wp:anchor distT="0" distB="0" distL="114300" distR="114300" simplePos="0" relativeHeight="251660288" behindDoc="0" locked="0" layoutInCell="1" allowOverlap="1" wp14:anchorId="468548F4" wp14:editId="677A8261">
            <wp:simplePos x="0" y="0"/>
            <wp:positionH relativeFrom="margin">
              <wp:align>center</wp:align>
            </wp:positionH>
            <wp:positionV relativeFrom="paragraph">
              <wp:posOffset>694690</wp:posOffset>
            </wp:positionV>
            <wp:extent cx="3634740" cy="2667000"/>
            <wp:effectExtent l="0" t="0" r="3810" b="0"/>
            <wp:wrapTopAndBottom/>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There is considerable variation in attendance dependent upon the source of the referral.  As indicated by Chart 12, those referred by school attend best, and those referred by support workers attend comparatively poorly (less </w:t>
      </w:r>
      <w:r w:rsidR="009B3A72">
        <w:rPr>
          <w:rFonts w:ascii="Arial" w:hAnsi="Arial" w:cs="Arial"/>
          <w:sz w:val="24"/>
          <w:szCs w:val="24"/>
        </w:rPr>
        <w:t>than</w:t>
      </w:r>
      <w:r>
        <w:rPr>
          <w:rFonts w:ascii="Arial" w:hAnsi="Arial" w:cs="Arial"/>
          <w:sz w:val="24"/>
          <w:szCs w:val="24"/>
        </w:rPr>
        <w:t xml:space="preserve"> 50%).</w:t>
      </w:r>
    </w:p>
    <w:p w14:paraId="44BFAACD" w14:textId="4DDC2677" w:rsidR="000D2836" w:rsidRDefault="000D2836" w:rsidP="000D2836">
      <w:pPr>
        <w:rPr>
          <w:rFonts w:ascii="Arial" w:hAnsi="Arial" w:cs="Arial"/>
          <w:b/>
          <w:sz w:val="24"/>
          <w:szCs w:val="24"/>
        </w:rPr>
      </w:pPr>
    </w:p>
    <w:p w14:paraId="08084568" w14:textId="77777777" w:rsidR="000D2836" w:rsidRDefault="000D2836" w:rsidP="000D2836">
      <w:pPr>
        <w:pStyle w:val="ListParagraph"/>
        <w:numPr>
          <w:ilvl w:val="0"/>
          <w:numId w:val="1"/>
        </w:numPr>
        <w:rPr>
          <w:rFonts w:ascii="Arial" w:hAnsi="Arial" w:cs="Arial"/>
          <w:b/>
          <w:sz w:val="24"/>
          <w:szCs w:val="24"/>
        </w:rPr>
      </w:pPr>
      <w:r w:rsidRPr="00027074">
        <w:rPr>
          <w:rFonts w:ascii="Arial" w:hAnsi="Arial" w:cs="Arial"/>
          <w:b/>
          <w:sz w:val="24"/>
          <w:szCs w:val="24"/>
        </w:rPr>
        <w:t>Endings</w:t>
      </w:r>
    </w:p>
    <w:p w14:paraId="226B8697" w14:textId="3021F241" w:rsidR="00990209" w:rsidRDefault="005E73D8" w:rsidP="00A84743">
      <w:pPr>
        <w:rPr>
          <w:rFonts w:ascii="Arial" w:hAnsi="Arial" w:cs="Arial"/>
          <w:sz w:val="24"/>
          <w:szCs w:val="24"/>
        </w:rPr>
      </w:pPr>
      <w:r>
        <w:rPr>
          <w:rFonts w:ascii="Arial" w:hAnsi="Arial" w:cs="Arial"/>
          <w:sz w:val="24"/>
          <w:szCs w:val="24"/>
        </w:rPr>
        <w:t xml:space="preserve">Over the four years since a more detailed breakdown of the planned and unplanned endings recorded, on average just under 50% of all endings have been planned.  Chart 13 shows the overall breakdown for these four years; that for 2018 is provisional only: less successful counselling periods tend to end earlier and therefore, at this stage in the year the figures are biased towards a higher number of unplanned endings.  </w:t>
      </w:r>
    </w:p>
    <w:p w14:paraId="1BE52385" w14:textId="5507DB95" w:rsidR="00A84743" w:rsidRDefault="000A6033" w:rsidP="00A84743">
      <w:pPr>
        <w:rPr>
          <w:rFonts w:ascii="Arial" w:hAnsi="Arial" w:cs="Arial"/>
          <w:color w:val="FF0000"/>
          <w:sz w:val="24"/>
          <w:szCs w:val="24"/>
        </w:rPr>
      </w:pPr>
      <w:r>
        <w:rPr>
          <w:rFonts w:ascii="Arial" w:hAnsi="Arial" w:cs="Arial"/>
          <w:noProof/>
          <w:color w:val="FF0000"/>
          <w:sz w:val="24"/>
          <w:szCs w:val="24"/>
        </w:rPr>
        <w:drawing>
          <wp:anchor distT="0" distB="0" distL="114300" distR="114300" simplePos="0" relativeHeight="251668480" behindDoc="0" locked="0" layoutInCell="1" allowOverlap="1" wp14:anchorId="1261D642" wp14:editId="7C7E6816">
            <wp:simplePos x="0" y="0"/>
            <wp:positionH relativeFrom="column">
              <wp:posOffset>0</wp:posOffset>
            </wp:positionH>
            <wp:positionV relativeFrom="paragraph">
              <wp:posOffset>1905</wp:posOffset>
            </wp:positionV>
            <wp:extent cx="5295900" cy="3086100"/>
            <wp:effectExtent l="0" t="0" r="0" b="0"/>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14:paraId="297FCE94" w14:textId="69740369" w:rsidR="000A6033" w:rsidRDefault="000A6033" w:rsidP="00A84743">
      <w:pPr>
        <w:rPr>
          <w:rFonts w:ascii="Arial" w:hAnsi="Arial" w:cs="Arial"/>
          <w:color w:val="FF0000"/>
          <w:sz w:val="24"/>
          <w:szCs w:val="24"/>
        </w:rPr>
      </w:pPr>
    </w:p>
    <w:p w14:paraId="22B3CC02" w14:textId="66A61BAD" w:rsidR="000A6033" w:rsidRDefault="000A6033" w:rsidP="00A84743">
      <w:pPr>
        <w:rPr>
          <w:rFonts w:ascii="Arial" w:hAnsi="Arial" w:cs="Arial"/>
          <w:color w:val="FF0000"/>
          <w:sz w:val="24"/>
          <w:szCs w:val="24"/>
        </w:rPr>
      </w:pPr>
    </w:p>
    <w:p w14:paraId="0D80A979" w14:textId="1BF23078" w:rsidR="000A6033" w:rsidRDefault="000A6033" w:rsidP="00A84743">
      <w:pPr>
        <w:rPr>
          <w:rFonts w:ascii="Arial" w:hAnsi="Arial" w:cs="Arial"/>
          <w:color w:val="FF0000"/>
          <w:sz w:val="24"/>
          <w:szCs w:val="24"/>
        </w:rPr>
      </w:pPr>
    </w:p>
    <w:p w14:paraId="353A3733" w14:textId="15645D92" w:rsidR="000A6033" w:rsidRDefault="000A6033" w:rsidP="00A84743">
      <w:pPr>
        <w:rPr>
          <w:rFonts w:ascii="Arial" w:hAnsi="Arial" w:cs="Arial"/>
          <w:color w:val="FF0000"/>
          <w:sz w:val="24"/>
          <w:szCs w:val="24"/>
        </w:rPr>
      </w:pPr>
    </w:p>
    <w:p w14:paraId="46666CCD" w14:textId="6268C83E" w:rsidR="000A6033" w:rsidRDefault="000A6033" w:rsidP="00A84743">
      <w:pPr>
        <w:rPr>
          <w:rFonts w:ascii="Arial" w:hAnsi="Arial" w:cs="Arial"/>
          <w:color w:val="FF0000"/>
          <w:sz w:val="24"/>
          <w:szCs w:val="24"/>
        </w:rPr>
      </w:pPr>
    </w:p>
    <w:p w14:paraId="68D6CF35" w14:textId="13D8188C" w:rsidR="000A6033" w:rsidRDefault="000A6033" w:rsidP="00A84743">
      <w:pPr>
        <w:rPr>
          <w:rFonts w:ascii="Arial" w:hAnsi="Arial" w:cs="Arial"/>
          <w:color w:val="FF0000"/>
          <w:sz w:val="24"/>
          <w:szCs w:val="24"/>
        </w:rPr>
      </w:pPr>
    </w:p>
    <w:p w14:paraId="643262BD" w14:textId="7C02C91E" w:rsidR="000A6033" w:rsidRDefault="000A6033" w:rsidP="00A84743">
      <w:pPr>
        <w:rPr>
          <w:rFonts w:ascii="Arial" w:hAnsi="Arial" w:cs="Arial"/>
          <w:color w:val="FF0000"/>
          <w:sz w:val="24"/>
          <w:szCs w:val="24"/>
        </w:rPr>
      </w:pPr>
    </w:p>
    <w:p w14:paraId="11EA89A6" w14:textId="6DAF619F" w:rsidR="000A6033" w:rsidRDefault="000A6033" w:rsidP="00A84743">
      <w:pPr>
        <w:rPr>
          <w:rFonts w:ascii="Arial" w:hAnsi="Arial" w:cs="Arial"/>
          <w:color w:val="FF0000"/>
          <w:sz w:val="24"/>
          <w:szCs w:val="24"/>
        </w:rPr>
      </w:pPr>
    </w:p>
    <w:p w14:paraId="7C40F310" w14:textId="62B9B900" w:rsidR="000A6033" w:rsidRDefault="000A6033" w:rsidP="00A84743">
      <w:pPr>
        <w:rPr>
          <w:rFonts w:ascii="Arial" w:hAnsi="Arial" w:cs="Arial"/>
          <w:color w:val="FF0000"/>
          <w:sz w:val="24"/>
          <w:szCs w:val="24"/>
        </w:rPr>
      </w:pPr>
    </w:p>
    <w:p w14:paraId="1B3D4704" w14:textId="77777777" w:rsidR="000A6033" w:rsidRDefault="000A6033" w:rsidP="00A84743">
      <w:pPr>
        <w:rPr>
          <w:rFonts w:ascii="Arial" w:hAnsi="Arial" w:cs="Arial"/>
          <w:color w:val="FF0000"/>
          <w:sz w:val="24"/>
          <w:szCs w:val="24"/>
        </w:rPr>
      </w:pPr>
    </w:p>
    <w:p w14:paraId="7F4C681E" w14:textId="66C20396" w:rsidR="000A6033" w:rsidRDefault="000A6033" w:rsidP="000A6033">
      <w:pPr>
        <w:rPr>
          <w:rFonts w:ascii="Arial" w:eastAsiaTheme="minorEastAsia" w:hAnsi="Arial" w:cs="Arial"/>
          <w:sz w:val="20"/>
          <w:szCs w:val="20"/>
        </w:rPr>
      </w:pPr>
      <w:r w:rsidRPr="003C5DEE">
        <w:rPr>
          <w:rFonts w:ascii="Arial" w:eastAsiaTheme="minorEastAsia" w:hAnsi="Arial" w:cs="Arial"/>
          <w:sz w:val="20"/>
          <w:szCs w:val="20"/>
        </w:rPr>
        <w:t>*2018 figure based on 9 months data only and will be updated in the next report</w:t>
      </w:r>
    </w:p>
    <w:p w14:paraId="512AA9AB" w14:textId="77777777" w:rsidR="000A6033" w:rsidRDefault="000A6033" w:rsidP="00A84743">
      <w:pPr>
        <w:rPr>
          <w:rFonts w:ascii="Arial" w:hAnsi="Arial" w:cs="Arial"/>
          <w:color w:val="FF0000"/>
          <w:sz w:val="24"/>
          <w:szCs w:val="24"/>
        </w:rPr>
      </w:pPr>
    </w:p>
    <w:p w14:paraId="12574ECD" w14:textId="34468F33" w:rsidR="000A6033" w:rsidRPr="003C5DEE" w:rsidRDefault="000A6033" w:rsidP="005E73D8">
      <w:pPr>
        <w:rPr>
          <w:rFonts w:ascii="Arial" w:eastAsiaTheme="minorEastAsia" w:hAnsi="Arial" w:cs="Arial"/>
          <w:sz w:val="20"/>
          <w:szCs w:val="20"/>
        </w:rPr>
      </w:pPr>
      <w:r>
        <w:rPr>
          <w:rFonts w:ascii="Arial" w:hAnsi="Arial" w:cs="Arial"/>
          <w:sz w:val="24"/>
          <w:szCs w:val="24"/>
        </w:rPr>
        <w:t>A</w:t>
      </w:r>
      <w:r>
        <w:rPr>
          <w:rFonts w:ascii="Arial" w:hAnsi="Arial" w:cs="Arial"/>
          <w:sz w:val="24"/>
          <w:szCs w:val="24"/>
        </w:rPr>
        <w:t xml:space="preserve"> more detailed breakdown for planned and unplanned endings has been shown for the two most recent full years (2016 and 2017), as illustrated in Charts 14 and 15.  In </w:t>
      </w:r>
      <w:r>
        <w:rPr>
          <w:rFonts w:ascii="Arial" w:hAnsi="Arial" w:cs="Arial"/>
          <w:sz w:val="24"/>
          <w:szCs w:val="24"/>
        </w:rPr>
        <w:t>relation to</w:t>
      </w:r>
      <w:r>
        <w:rPr>
          <w:rFonts w:ascii="Arial" w:hAnsi="Arial" w:cs="Arial"/>
          <w:sz w:val="24"/>
          <w:szCs w:val="24"/>
        </w:rPr>
        <w:t xml:space="preserve"> the high number of discontinued cases, </w:t>
      </w:r>
      <w:r>
        <w:rPr>
          <w:rFonts w:ascii="Arial" w:hAnsi="Arial" w:cs="Arial"/>
          <w:sz w:val="24"/>
          <w:szCs w:val="24"/>
        </w:rPr>
        <w:t>30</w:t>
      </w:r>
      <w:r>
        <w:rPr>
          <w:rFonts w:ascii="Arial" w:hAnsi="Arial" w:cs="Arial"/>
          <w:sz w:val="24"/>
          <w:szCs w:val="24"/>
        </w:rPr>
        <w:t>% of unplanned endings, it is possible that some of these may in fact have been endings discontinued in a planned way by mutual agreement, and should therefore be classified as planned during therapy.  As with the apparently declining attendance rate (see above), ways of more accurately recording this type of case.</w:t>
      </w:r>
      <w:r>
        <w:rPr>
          <w:rFonts w:ascii="Arial" w:hAnsi="Arial" w:cs="Arial"/>
          <w:sz w:val="24"/>
          <w:szCs w:val="24"/>
        </w:rPr>
        <w:t xml:space="preserve">  The largest group, however, comprises those with whom contact has been lost (62%).  A majority of these originated as either parental or support worker referrals.</w:t>
      </w:r>
    </w:p>
    <w:p w14:paraId="088351D7" w14:textId="71CC917C" w:rsidR="00E94CD4" w:rsidRDefault="000A6033" w:rsidP="00990209">
      <w:pPr>
        <w:rPr>
          <w:rFonts w:ascii="Arial" w:hAnsi="Arial" w:cs="Arial"/>
          <w:color w:val="FF0000"/>
          <w:sz w:val="24"/>
          <w:szCs w:val="24"/>
        </w:rPr>
      </w:pPr>
      <w:r>
        <w:rPr>
          <w:rFonts w:ascii="Arial" w:hAnsi="Arial" w:cs="Arial"/>
          <w:noProof/>
          <w:sz w:val="24"/>
          <w:szCs w:val="24"/>
        </w:rPr>
        <w:drawing>
          <wp:anchor distT="0" distB="0" distL="114300" distR="114300" simplePos="0" relativeHeight="251667456" behindDoc="0" locked="0" layoutInCell="1" allowOverlap="1" wp14:anchorId="31433E09" wp14:editId="4FF6252D">
            <wp:simplePos x="0" y="0"/>
            <wp:positionH relativeFrom="margin">
              <wp:align>right</wp:align>
            </wp:positionH>
            <wp:positionV relativeFrom="paragraph">
              <wp:posOffset>83185</wp:posOffset>
            </wp:positionV>
            <wp:extent cx="2613660" cy="2750820"/>
            <wp:effectExtent l="0" t="0" r="15240" b="11430"/>
            <wp:wrapSquare wrapText="bothSides"/>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5E73D8">
        <w:rPr>
          <w:rFonts w:ascii="Arial" w:hAnsi="Arial" w:cs="Arial"/>
          <w:noProof/>
          <w:sz w:val="24"/>
          <w:szCs w:val="24"/>
        </w:rPr>
        <w:drawing>
          <wp:anchor distT="0" distB="0" distL="114300" distR="114300" simplePos="0" relativeHeight="251661312" behindDoc="0" locked="0" layoutInCell="1" allowOverlap="1" wp14:anchorId="7A435577" wp14:editId="3B8D8E77">
            <wp:simplePos x="0" y="0"/>
            <wp:positionH relativeFrom="margin">
              <wp:align>left</wp:align>
            </wp:positionH>
            <wp:positionV relativeFrom="paragraph">
              <wp:posOffset>74930</wp:posOffset>
            </wp:positionV>
            <wp:extent cx="2613660" cy="2750820"/>
            <wp:effectExtent l="0" t="0" r="15240" b="1143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5C8E0A0E" w14:textId="77777777" w:rsidR="000A6033" w:rsidRDefault="000A6033" w:rsidP="00990209">
      <w:pPr>
        <w:rPr>
          <w:rFonts w:ascii="Arial" w:hAnsi="Arial" w:cs="Arial"/>
          <w:sz w:val="24"/>
          <w:szCs w:val="24"/>
        </w:rPr>
      </w:pPr>
    </w:p>
    <w:p w14:paraId="272CF15D" w14:textId="77777777" w:rsidR="000A6033" w:rsidRDefault="000A6033" w:rsidP="00990209">
      <w:pPr>
        <w:rPr>
          <w:rFonts w:ascii="Arial" w:hAnsi="Arial" w:cs="Arial"/>
          <w:sz w:val="24"/>
          <w:szCs w:val="24"/>
        </w:rPr>
      </w:pPr>
    </w:p>
    <w:p w14:paraId="2CF4A969" w14:textId="77777777" w:rsidR="000A6033" w:rsidRDefault="000A6033" w:rsidP="00990209">
      <w:pPr>
        <w:rPr>
          <w:rFonts w:ascii="Arial" w:hAnsi="Arial" w:cs="Arial"/>
          <w:sz w:val="24"/>
          <w:szCs w:val="24"/>
        </w:rPr>
      </w:pPr>
    </w:p>
    <w:p w14:paraId="34A4F456" w14:textId="77777777" w:rsidR="000A6033" w:rsidRDefault="000A6033" w:rsidP="00990209">
      <w:pPr>
        <w:rPr>
          <w:rFonts w:ascii="Arial" w:hAnsi="Arial" w:cs="Arial"/>
          <w:sz w:val="24"/>
          <w:szCs w:val="24"/>
        </w:rPr>
      </w:pPr>
    </w:p>
    <w:p w14:paraId="6FD16C48" w14:textId="77777777" w:rsidR="000A6033" w:rsidRDefault="000A6033" w:rsidP="00990209">
      <w:pPr>
        <w:rPr>
          <w:rFonts w:ascii="Arial" w:hAnsi="Arial" w:cs="Arial"/>
          <w:sz w:val="24"/>
          <w:szCs w:val="24"/>
        </w:rPr>
      </w:pPr>
    </w:p>
    <w:p w14:paraId="7307F5A7" w14:textId="77777777" w:rsidR="000A6033" w:rsidRDefault="000A6033" w:rsidP="00990209">
      <w:pPr>
        <w:rPr>
          <w:rFonts w:ascii="Arial" w:hAnsi="Arial" w:cs="Arial"/>
          <w:sz w:val="24"/>
          <w:szCs w:val="24"/>
        </w:rPr>
      </w:pPr>
    </w:p>
    <w:p w14:paraId="19B7DFB0" w14:textId="77777777" w:rsidR="000A6033" w:rsidRDefault="000A6033" w:rsidP="00990209">
      <w:pPr>
        <w:rPr>
          <w:rFonts w:ascii="Arial" w:hAnsi="Arial" w:cs="Arial"/>
          <w:sz w:val="24"/>
          <w:szCs w:val="24"/>
        </w:rPr>
      </w:pPr>
    </w:p>
    <w:p w14:paraId="1A7D2B84" w14:textId="77777777" w:rsidR="000A6033" w:rsidRDefault="000A6033" w:rsidP="00990209">
      <w:pPr>
        <w:rPr>
          <w:rFonts w:ascii="Arial" w:hAnsi="Arial" w:cs="Arial"/>
          <w:sz w:val="24"/>
          <w:szCs w:val="24"/>
        </w:rPr>
      </w:pPr>
    </w:p>
    <w:p w14:paraId="1171284D" w14:textId="77777777" w:rsidR="000A6033" w:rsidRDefault="000A6033" w:rsidP="00990209">
      <w:pPr>
        <w:rPr>
          <w:rFonts w:ascii="Arial" w:hAnsi="Arial" w:cs="Arial"/>
          <w:sz w:val="24"/>
          <w:szCs w:val="24"/>
        </w:rPr>
      </w:pPr>
    </w:p>
    <w:p w14:paraId="17493DE5" w14:textId="4EFB1568" w:rsidR="00990209" w:rsidRPr="00E94CD4" w:rsidRDefault="00E1360B" w:rsidP="00990209">
      <w:pPr>
        <w:rPr>
          <w:rFonts w:ascii="Arial" w:hAnsi="Arial" w:cs="Arial"/>
          <w:color w:val="FF0000"/>
          <w:sz w:val="24"/>
          <w:szCs w:val="24"/>
        </w:rPr>
      </w:pPr>
      <w:r>
        <w:rPr>
          <w:rFonts w:ascii="Arial" w:hAnsi="Arial" w:cs="Arial"/>
          <w:sz w:val="24"/>
          <w:szCs w:val="24"/>
        </w:rPr>
        <w:t>It</w:t>
      </w:r>
      <w:r w:rsidR="00E94CD4">
        <w:rPr>
          <w:rFonts w:ascii="Arial" w:hAnsi="Arial" w:cs="Arial"/>
          <w:sz w:val="24"/>
          <w:szCs w:val="24"/>
        </w:rPr>
        <w:t xml:space="preserve"> is also worth noting that, over the last four years, the highest percentage of unplanned endings (68%) came from support workers, and the lowest from schools (21%).  This links to the attendance rates noted in section 13.</w:t>
      </w:r>
      <w:r w:rsidR="00E94CD4">
        <w:rPr>
          <w:rFonts w:ascii="Arial" w:hAnsi="Arial" w:cs="Arial"/>
          <w:sz w:val="24"/>
          <w:szCs w:val="24"/>
        </w:rPr>
        <w:br/>
      </w:r>
    </w:p>
    <w:p w14:paraId="47ECE09F" w14:textId="77777777" w:rsidR="00C37665" w:rsidRDefault="00990209" w:rsidP="00990209">
      <w:pPr>
        <w:pStyle w:val="ListParagraph"/>
        <w:numPr>
          <w:ilvl w:val="0"/>
          <w:numId w:val="1"/>
        </w:numPr>
        <w:rPr>
          <w:rFonts w:ascii="Arial" w:hAnsi="Arial" w:cs="Arial"/>
          <w:b/>
          <w:sz w:val="24"/>
          <w:szCs w:val="24"/>
        </w:rPr>
      </w:pPr>
      <w:r>
        <w:rPr>
          <w:rFonts w:ascii="Arial" w:hAnsi="Arial" w:cs="Arial"/>
          <w:b/>
          <w:sz w:val="24"/>
          <w:szCs w:val="24"/>
        </w:rPr>
        <w:t>Asian children referred</w:t>
      </w:r>
    </w:p>
    <w:p w14:paraId="449C2EAA" w14:textId="77777777" w:rsidR="008D7F6D" w:rsidRDefault="006D1B84" w:rsidP="00C37665">
      <w:pPr>
        <w:rPr>
          <w:rFonts w:ascii="Arial" w:hAnsi="Arial" w:cs="Arial"/>
          <w:sz w:val="24"/>
          <w:szCs w:val="24"/>
        </w:rPr>
      </w:pPr>
      <w:r>
        <w:rPr>
          <w:rFonts w:ascii="Arial" w:hAnsi="Arial" w:cs="Arial"/>
          <w:sz w:val="24"/>
          <w:szCs w:val="24"/>
        </w:rPr>
        <w:t>Since 2010, 123 children of Asian origin have been referred to ESCAYP.  However, in order to make more accurate comparisons with the data analyses already outlined, those Asian children referred in the last three years only have been selected (n=74). Of these, 53% are boys.  As with the full group of referrals, just over 50% were aged 5-10 years; however, 16% were 17 and over.  The source of referral also differs, with 36% being referred by support workers, 34% by school or college, and only 26% by a</w:t>
      </w:r>
      <w:r w:rsidR="001451ED">
        <w:rPr>
          <w:rFonts w:ascii="Arial" w:hAnsi="Arial" w:cs="Arial"/>
          <w:sz w:val="24"/>
          <w:szCs w:val="24"/>
        </w:rPr>
        <w:t xml:space="preserve"> family member.  Comparative figures for white children over the same period are 18% support worker, 36% school/college, and 41% family member.</w:t>
      </w:r>
    </w:p>
    <w:p w14:paraId="776E3D22" w14:textId="77777777" w:rsidR="00A11A88" w:rsidRDefault="00A11A88" w:rsidP="00C37665">
      <w:pPr>
        <w:rPr>
          <w:rFonts w:ascii="Arial" w:hAnsi="Arial" w:cs="Arial"/>
          <w:sz w:val="24"/>
          <w:szCs w:val="24"/>
        </w:rPr>
      </w:pPr>
      <w:r>
        <w:rPr>
          <w:rFonts w:ascii="Arial" w:hAnsi="Arial" w:cs="Arial"/>
          <w:sz w:val="24"/>
          <w:szCs w:val="24"/>
        </w:rPr>
        <w:t>The profile of presenting issues is similar to that of the whole group, although in most cases the prevalence is a few percentage points lower.  Because the sample of Asian children with evaluation data, even going back to 2016, is comparatively low (n=28), it is difficult to draw precise comparisons.  The most prevalent issues found at start of counselling were: family (54%), anxiety (50%), behaviour and interpersonal issues (both 32%).</w:t>
      </w:r>
    </w:p>
    <w:p w14:paraId="49B3CF2A" w14:textId="72B5F5F6" w:rsidR="00A11A88" w:rsidRDefault="00A11A88" w:rsidP="00C37665">
      <w:pPr>
        <w:rPr>
          <w:rFonts w:ascii="Arial" w:hAnsi="Arial" w:cs="Arial"/>
          <w:sz w:val="24"/>
          <w:szCs w:val="24"/>
        </w:rPr>
      </w:pPr>
      <w:r w:rsidRPr="00A11A88">
        <w:rPr>
          <w:rFonts w:ascii="Arial" w:hAnsi="Arial" w:cs="Arial"/>
          <w:sz w:val="24"/>
          <w:szCs w:val="24"/>
        </w:rPr>
        <w:t>Average waiting time to first date offered was 29.1 days (white = 27.7 days)</w:t>
      </w:r>
      <w:r>
        <w:rPr>
          <w:rFonts w:ascii="Arial" w:hAnsi="Arial" w:cs="Arial"/>
          <w:sz w:val="24"/>
          <w:szCs w:val="24"/>
        </w:rPr>
        <w:t>, average waiting time to actual start was 36.4 days (white = 38.2 days).</w:t>
      </w:r>
    </w:p>
    <w:p w14:paraId="49A9E2D7" w14:textId="02268EC5" w:rsidR="00A11A88" w:rsidRPr="00A11A88" w:rsidRDefault="00A11A88" w:rsidP="00C37665">
      <w:pPr>
        <w:rPr>
          <w:rFonts w:ascii="Arial" w:hAnsi="Arial" w:cs="Arial"/>
          <w:sz w:val="24"/>
          <w:szCs w:val="24"/>
        </w:rPr>
      </w:pPr>
      <w:r>
        <w:rPr>
          <w:rFonts w:ascii="Arial" w:hAnsi="Arial" w:cs="Arial"/>
          <w:sz w:val="24"/>
          <w:szCs w:val="24"/>
        </w:rPr>
        <w:t>In terms of attendance, this was lower than that of the comparable group of white children: an average of 58.2%, compared to 67.5%.  This is consistent with the higher proportion referred by support workers, and 23% of referrals were withdrawn before th</w:t>
      </w:r>
      <w:r w:rsidR="00D8370C">
        <w:rPr>
          <w:rFonts w:ascii="Arial" w:hAnsi="Arial" w:cs="Arial"/>
          <w:sz w:val="24"/>
          <w:szCs w:val="24"/>
        </w:rPr>
        <w:t xml:space="preserve">e </w:t>
      </w:r>
      <w:r>
        <w:rPr>
          <w:rFonts w:ascii="Arial" w:hAnsi="Arial" w:cs="Arial"/>
          <w:sz w:val="24"/>
          <w:szCs w:val="24"/>
        </w:rPr>
        <w:t>start, compared with the comparable figure of 20%.</w:t>
      </w:r>
    </w:p>
    <w:p w14:paraId="54E5D8CA" w14:textId="388652F5" w:rsidR="00990209" w:rsidRPr="00C37665" w:rsidRDefault="00990209" w:rsidP="00C37665">
      <w:pPr>
        <w:rPr>
          <w:rFonts w:ascii="Arial" w:hAnsi="Arial" w:cs="Arial"/>
          <w:b/>
          <w:sz w:val="24"/>
          <w:szCs w:val="24"/>
        </w:rPr>
      </w:pPr>
    </w:p>
    <w:p w14:paraId="5C371843" w14:textId="127D4413" w:rsidR="00AD23C2" w:rsidRDefault="00990209" w:rsidP="00990209">
      <w:pPr>
        <w:pStyle w:val="ListParagraph"/>
        <w:numPr>
          <w:ilvl w:val="0"/>
          <w:numId w:val="1"/>
        </w:numPr>
        <w:rPr>
          <w:rFonts w:ascii="Arial" w:hAnsi="Arial" w:cs="Arial"/>
          <w:b/>
          <w:sz w:val="24"/>
          <w:szCs w:val="24"/>
        </w:rPr>
      </w:pPr>
      <w:r>
        <w:rPr>
          <w:rFonts w:ascii="Arial" w:hAnsi="Arial" w:cs="Arial"/>
          <w:b/>
          <w:sz w:val="24"/>
          <w:szCs w:val="24"/>
        </w:rPr>
        <w:t>Gender differences</w:t>
      </w:r>
    </w:p>
    <w:p w14:paraId="4DD55AEA" w14:textId="25165DBA" w:rsidR="00CB2372" w:rsidRDefault="00393F91" w:rsidP="00AD23C2">
      <w:pPr>
        <w:rPr>
          <w:rFonts w:ascii="Arial" w:hAnsi="Arial" w:cs="Arial"/>
          <w:sz w:val="24"/>
          <w:szCs w:val="24"/>
        </w:rPr>
      </w:pPr>
      <w:r>
        <w:rPr>
          <w:rFonts w:ascii="Arial" w:hAnsi="Arial" w:cs="Arial"/>
          <w:sz w:val="24"/>
          <w:szCs w:val="24"/>
        </w:rPr>
        <w:t>In the last two years (2017/8), 453 girls and 414 boys have been referred to ESCAYP.  The difference in source of referral has already been noted (section 6). The higher proportion of parental referrals may explain the slightly longer waiting periods observed for girls than for boys: average to first date offered was 25.7 days (girls) and 21.9 days (boys) This gap is also reflected in the waiting period to first actual session: 36.7 days (girls) and 33.3 days (boys).</w:t>
      </w:r>
    </w:p>
    <w:p w14:paraId="04A7B516" w14:textId="77777777" w:rsidR="00BD01A9" w:rsidRDefault="00BD01A9" w:rsidP="00BD01A9">
      <w:pPr>
        <w:pStyle w:val="ListParagraph"/>
        <w:ind w:left="0"/>
        <w:rPr>
          <w:rFonts w:ascii="Arial" w:hAnsi="Arial" w:cs="Arial"/>
          <w:sz w:val="24"/>
          <w:szCs w:val="24"/>
        </w:rPr>
      </w:pPr>
      <w:r>
        <w:rPr>
          <w:rFonts w:ascii="Arial" w:hAnsi="Arial" w:cs="Arial"/>
          <w:sz w:val="24"/>
          <w:szCs w:val="24"/>
        </w:rPr>
        <w:t>The profile of presenting issues differs between girls and boys, as illustrated in Chart 16.  A higher proportion of girls presented with anxiety, identity, interpersonal, self-esteem and trauma issues.  Boys only presented more with anger and behaviour issues than girls.</w:t>
      </w:r>
    </w:p>
    <w:p w14:paraId="6F4DC94F" w14:textId="6A20ADDE" w:rsidR="00393F91" w:rsidRDefault="00393F91" w:rsidP="00AD23C2">
      <w:pPr>
        <w:rPr>
          <w:rFonts w:ascii="Arial" w:hAnsi="Arial" w:cs="Arial"/>
          <w:sz w:val="24"/>
          <w:szCs w:val="24"/>
        </w:rPr>
      </w:pPr>
      <w:r>
        <w:rPr>
          <w:rFonts w:ascii="Arial" w:hAnsi="Arial" w:cs="Arial"/>
          <w:noProof/>
          <w:sz w:val="24"/>
          <w:szCs w:val="24"/>
        </w:rPr>
        <w:drawing>
          <wp:inline distT="0" distB="0" distL="0" distR="0" wp14:anchorId="02BB1AC8" wp14:editId="716A33F9">
            <wp:extent cx="5486400" cy="32004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CD4332F" w14:textId="77777777" w:rsidR="00CB2372" w:rsidRDefault="00CB2372" w:rsidP="00AD23C2">
      <w:pPr>
        <w:rPr>
          <w:rFonts w:ascii="Arial" w:hAnsi="Arial" w:cs="Arial"/>
          <w:sz w:val="24"/>
          <w:szCs w:val="24"/>
        </w:rPr>
      </w:pPr>
    </w:p>
    <w:p w14:paraId="10583A7C" w14:textId="77777777" w:rsidR="00BD01A9" w:rsidRDefault="00BD01A9" w:rsidP="00BD01A9">
      <w:pPr>
        <w:rPr>
          <w:rFonts w:ascii="Arial" w:hAnsi="Arial" w:cs="Arial"/>
          <w:sz w:val="24"/>
          <w:szCs w:val="24"/>
        </w:rPr>
      </w:pPr>
      <w:r w:rsidRPr="00BD01A9">
        <w:rPr>
          <w:rFonts w:ascii="Arial" w:hAnsi="Arial" w:cs="Arial"/>
          <w:sz w:val="24"/>
          <w:szCs w:val="24"/>
        </w:rPr>
        <w:t>As noted in previous reports, average attendance for boys was higher than for girls: 69.9% compared with 64%, although this gap is narrower than in previous years, when it averaged at 8-10% higher.</w:t>
      </w:r>
    </w:p>
    <w:p w14:paraId="23C86EE8" w14:textId="334B196B" w:rsidR="00BD01A9" w:rsidRDefault="00BD01A9" w:rsidP="00BD01A9">
      <w:pPr>
        <w:rPr>
          <w:rFonts w:ascii="Arial" w:hAnsi="Arial" w:cs="Arial"/>
          <w:sz w:val="24"/>
          <w:szCs w:val="24"/>
        </w:rPr>
      </w:pPr>
      <w:r>
        <w:rPr>
          <w:rFonts w:ascii="Arial" w:hAnsi="Arial" w:cs="Arial"/>
          <w:sz w:val="24"/>
          <w:szCs w:val="24"/>
        </w:rPr>
        <w:t xml:space="preserve">In terms of endings, 2% more girls did not attend the first session, and 3% more were withdrawn before the start. Conversely, </w:t>
      </w:r>
      <w:r w:rsidR="0001700A">
        <w:rPr>
          <w:rFonts w:ascii="Arial" w:hAnsi="Arial" w:cs="Arial"/>
          <w:sz w:val="24"/>
          <w:szCs w:val="24"/>
        </w:rPr>
        <w:t>9</w:t>
      </w:r>
      <w:r>
        <w:rPr>
          <w:rFonts w:ascii="Arial" w:hAnsi="Arial" w:cs="Arial"/>
          <w:sz w:val="24"/>
          <w:szCs w:val="24"/>
        </w:rPr>
        <w:t>% fewer girls than boys had a planned ending.</w:t>
      </w:r>
    </w:p>
    <w:p w14:paraId="1B0FEC16" w14:textId="77777777" w:rsidR="00022A20" w:rsidRDefault="00022A20" w:rsidP="00990209">
      <w:pPr>
        <w:pStyle w:val="ListParagraph"/>
        <w:numPr>
          <w:ilvl w:val="0"/>
          <w:numId w:val="1"/>
        </w:numPr>
        <w:rPr>
          <w:rFonts w:ascii="Arial" w:hAnsi="Arial" w:cs="Arial"/>
          <w:b/>
          <w:sz w:val="24"/>
          <w:szCs w:val="24"/>
        </w:rPr>
      </w:pPr>
      <w:r>
        <w:rPr>
          <w:rFonts w:ascii="Arial" w:hAnsi="Arial" w:cs="Arial"/>
          <w:b/>
          <w:sz w:val="24"/>
          <w:szCs w:val="24"/>
        </w:rPr>
        <w:t>Referral patterns</w:t>
      </w:r>
    </w:p>
    <w:p w14:paraId="53B72AE0" w14:textId="02B2956A" w:rsidR="00022A20" w:rsidRDefault="00022A20" w:rsidP="00022A20">
      <w:pPr>
        <w:rPr>
          <w:rFonts w:ascii="Arial" w:hAnsi="Arial" w:cs="Arial"/>
          <w:b/>
          <w:sz w:val="24"/>
          <w:szCs w:val="24"/>
        </w:rPr>
      </w:pPr>
      <w:r>
        <w:rPr>
          <w:rFonts w:ascii="Arial" w:hAnsi="Arial" w:cs="Arial"/>
          <w:b/>
          <w:noProof/>
          <w:sz w:val="24"/>
          <w:szCs w:val="24"/>
        </w:rPr>
        <w:drawing>
          <wp:inline distT="0" distB="0" distL="0" distR="0" wp14:anchorId="6B1FA018" wp14:editId="558F15D1">
            <wp:extent cx="5486400" cy="32004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022A20">
        <w:rPr>
          <w:rFonts w:ascii="Arial" w:hAnsi="Arial" w:cs="Arial"/>
          <w:b/>
          <w:sz w:val="24"/>
          <w:szCs w:val="24"/>
        </w:rPr>
        <w:br/>
      </w:r>
    </w:p>
    <w:p w14:paraId="0683CE1F" w14:textId="77777777" w:rsidR="008E0920" w:rsidRDefault="008E0920" w:rsidP="00022A20">
      <w:pPr>
        <w:rPr>
          <w:rFonts w:ascii="Arial" w:hAnsi="Arial" w:cs="Arial"/>
          <w:sz w:val="24"/>
          <w:szCs w:val="24"/>
        </w:rPr>
      </w:pPr>
      <w:r>
        <w:rPr>
          <w:rFonts w:ascii="Arial" w:hAnsi="Arial" w:cs="Arial"/>
          <w:sz w:val="24"/>
          <w:szCs w:val="24"/>
        </w:rPr>
        <w:t xml:space="preserve">The purpose of Chart 17 is to identity any patterns of referral over the years, which could be linked to triggers such as school exams, and could also help in planning the service.  </w:t>
      </w:r>
    </w:p>
    <w:p w14:paraId="42A60AC7" w14:textId="61311438" w:rsidR="008E0920" w:rsidRPr="008E0920" w:rsidRDefault="008E0920" w:rsidP="00022A20">
      <w:pPr>
        <w:rPr>
          <w:rFonts w:ascii="Arial" w:hAnsi="Arial" w:cs="Arial"/>
          <w:sz w:val="24"/>
          <w:szCs w:val="24"/>
        </w:rPr>
      </w:pPr>
      <w:r>
        <w:rPr>
          <w:rFonts w:ascii="Arial" w:hAnsi="Arial" w:cs="Arial"/>
          <w:sz w:val="24"/>
          <w:szCs w:val="24"/>
        </w:rPr>
        <w:t xml:space="preserve">As the chart shows, there are </w:t>
      </w:r>
      <w:r w:rsidR="000A6033">
        <w:rPr>
          <w:rFonts w:ascii="Arial" w:hAnsi="Arial" w:cs="Arial"/>
          <w:sz w:val="24"/>
          <w:szCs w:val="24"/>
        </w:rPr>
        <w:t xml:space="preserve">consistent </w:t>
      </w:r>
      <w:r>
        <w:rPr>
          <w:rFonts w:ascii="Arial" w:hAnsi="Arial" w:cs="Arial"/>
          <w:sz w:val="24"/>
          <w:szCs w:val="24"/>
        </w:rPr>
        <w:t>spikes in the number of referrals in January, May, September-November.</w:t>
      </w:r>
      <w:r>
        <w:rPr>
          <w:rFonts w:ascii="Arial" w:hAnsi="Arial" w:cs="Arial"/>
          <w:sz w:val="24"/>
          <w:szCs w:val="24"/>
        </w:rPr>
        <w:br/>
      </w:r>
    </w:p>
    <w:p w14:paraId="6FD82D71" w14:textId="1E04733B" w:rsidR="00990209" w:rsidRDefault="000A6033" w:rsidP="00990209">
      <w:pPr>
        <w:pStyle w:val="ListParagraph"/>
        <w:numPr>
          <w:ilvl w:val="0"/>
          <w:numId w:val="1"/>
        </w:numPr>
        <w:rPr>
          <w:rFonts w:ascii="Arial" w:hAnsi="Arial" w:cs="Arial"/>
          <w:b/>
          <w:sz w:val="24"/>
          <w:szCs w:val="24"/>
        </w:rPr>
      </w:pPr>
      <w:r>
        <w:rPr>
          <w:rFonts w:ascii="Arial" w:hAnsi="Arial" w:cs="Arial"/>
          <w:noProof/>
          <w:sz w:val="24"/>
          <w:szCs w:val="24"/>
        </w:rPr>
        <w:drawing>
          <wp:anchor distT="0" distB="0" distL="114300" distR="114300" simplePos="0" relativeHeight="251665408" behindDoc="0" locked="0" layoutInCell="1" allowOverlap="1" wp14:anchorId="22194A61" wp14:editId="5585F732">
            <wp:simplePos x="0" y="0"/>
            <wp:positionH relativeFrom="margin">
              <wp:align>center</wp:align>
            </wp:positionH>
            <wp:positionV relativeFrom="paragraph">
              <wp:posOffset>356235</wp:posOffset>
            </wp:positionV>
            <wp:extent cx="5486400" cy="3200400"/>
            <wp:effectExtent l="0" t="0" r="0" b="0"/>
            <wp:wrapSquare wrapText="bothSides"/>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990209">
        <w:rPr>
          <w:rFonts w:ascii="Arial" w:hAnsi="Arial" w:cs="Arial"/>
          <w:b/>
          <w:sz w:val="24"/>
          <w:szCs w:val="24"/>
        </w:rPr>
        <w:t>Changes observed</w:t>
      </w:r>
      <w:r w:rsidR="00990209">
        <w:rPr>
          <w:rFonts w:ascii="Arial" w:hAnsi="Arial" w:cs="Arial"/>
          <w:b/>
          <w:sz w:val="24"/>
          <w:szCs w:val="24"/>
        </w:rPr>
        <w:br/>
      </w:r>
    </w:p>
    <w:p w14:paraId="3E09B48D" w14:textId="0F691627" w:rsidR="000A6033" w:rsidRDefault="00F2481B" w:rsidP="00990209">
      <w:pPr>
        <w:pStyle w:val="ListParagraph"/>
        <w:ind w:left="0"/>
        <w:rPr>
          <w:rFonts w:ascii="Arial" w:hAnsi="Arial" w:cs="Arial"/>
          <w:sz w:val="24"/>
          <w:szCs w:val="24"/>
        </w:rPr>
      </w:pPr>
      <w:r>
        <w:rPr>
          <w:rFonts w:ascii="Arial" w:hAnsi="Arial" w:cs="Arial"/>
          <w:sz w:val="24"/>
          <w:szCs w:val="24"/>
        </w:rPr>
        <w:t xml:space="preserve">Following last year’s </w:t>
      </w:r>
      <w:r w:rsidR="00AC4DD3">
        <w:rPr>
          <w:rFonts w:ascii="Arial" w:hAnsi="Arial" w:cs="Arial"/>
          <w:sz w:val="24"/>
          <w:szCs w:val="24"/>
        </w:rPr>
        <w:t>new evaluation database installation, a total of 293 records have been entered</w:t>
      </w:r>
      <w:r w:rsidR="00990209">
        <w:rPr>
          <w:rFonts w:ascii="Arial" w:hAnsi="Arial" w:cs="Arial"/>
          <w:sz w:val="24"/>
          <w:szCs w:val="24"/>
        </w:rPr>
        <w:t xml:space="preserve">. </w:t>
      </w:r>
    </w:p>
    <w:p w14:paraId="2C7F423F" w14:textId="3A1C0FBE" w:rsidR="000A6033" w:rsidRDefault="000A6033" w:rsidP="00990209">
      <w:pPr>
        <w:pStyle w:val="ListParagraph"/>
        <w:ind w:left="0"/>
        <w:rPr>
          <w:rFonts w:ascii="Arial" w:hAnsi="Arial" w:cs="Arial"/>
          <w:sz w:val="24"/>
          <w:szCs w:val="24"/>
        </w:rPr>
      </w:pPr>
    </w:p>
    <w:p w14:paraId="25030255" w14:textId="7A7CB59F" w:rsidR="008E0920" w:rsidRDefault="008E0920" w:rsidP="00990209">
      <w:pPr>
        <w:pStyle w:val="ListParagraph"/>
        <w:ind w:left="0"/>
        <w:rPr>
          <w:rFonts w:ascii="Arial" w:hAnsi="Arial" w:cs="Arial"/>
          <w:sz w:val="24"/>
          <w:szCs w:val="24"/>
        </w:rPr>
      </w:pPr>
      <w:r>
        <w:rPr>
          <w:rFonts w:ascii="Arial" w:hAnsi="Arial" w:cs="Arial"/>
          <w:sz w:val="24"/>
          <w:szCs w:val="24"/>
        </w:rPr>
        <w:t xml:space="preserve">Chart 18 shows the changes observed by counsellors in children receiving counselling.  Percentages are of those children presenting with mild to severe issues in each category </w:t>
      </w:r>
      <w:r w:rsidR="000A6033">
        <w:rPr>
          <w:rFonts w:ascii="Arial" w:hAnsi="Arial" w:cs="Arial"/>
          <w:sz w:val="24"/>
          <w:szCs w:val="24"/>
        </w:rPr>
        <w:t xml:space="preserve">showing signs of </w:t>
      </w:r>
      <w:r>
        <w:rPr>
          <w:rFonts w:ascii="Arial" w:hAnsi="Arial" w:cs="Arial"/>
          <w:sz w:val="24"/>
          <w:szCs w:val="24"/>
        </w:rPr>
        <w:t>positive or negative change</w:t>
      </w:r>
      <w:r w:rsidR="000A6033">
        <w:rPr>
          <w:rFonts w:ascii="Arial" w:hAnsi="Arial" w:cs="Arial"/>
          <w:sz w:val="24"/>
          <w:szCs w:val="24"/>
        </w:rPr>
        <w:t xml:space="preserve"> as assessed by the counsellor at the end of counselling</w:t>
      </w:r>
      <w:r>
        <w:rPr>
          <w:rFonts w:ascii="Arial" w:hAnsi="Arial" w:cs="Arial"/>
          <w:sz w:val="24"/>
          <w:szCs w:val="24"/>
        </w:rPr>
        <w:t>.</w:t>
      </w:r>
    </w:p>
    <w:p w14:paraId="59DB432C" w14:textId="0E78D6FD" w:rsidR="00AC4DD3" w:rsidRDefault="00AC4DD3" w:rsidP="00990209">
      <w:pPr>
        <w:pStyle w:val="ListParagraph"/>
        <w:ind w:left="0"/>
        <w:rPr>
          <w:rFonts w:ascii="Arial" w:hAnsi="Arial" w:cs="Arial"/>
          <w:sz w:val="24"/>
          <w:szCs w:val="24"/>
        </w:rPr>
      </w:pPr>
    </w:p>
    <w:p w14:paraId="504404DA" w14:textId="38D129A5" w:rsidR="00990209" w:rsidRPr="008348A6" w:rsidRDefault="00796BB7" w:rsidP="00990209">
      <w:pPr>
        <w:pStyle w:val="ListParagraph"/>
        <w:ind w:left="0"/>
        <w:rPr>
          <w:rFonts w:ascii="Arial" w:hAnsi="Arial" w:cs="Arial"/>
          <w:sz w:val="24"/>
          <w:szCs w:val="24"/>
        </w:rPr>
      </w:pPr>
      <w:r>
        <w:rPr>
          <w:rFonts w:ascii="Arial" w:hAnsi="Arial" w:cs="Arial"/>
          <w:sz w:val="24"/>
          <w:szCs w:val="24"/>
        </w:rPr>
        <w:t>This indicates very few children who experienced a deterioration in an issue, and over 80% who saw an improvement in terms of anger, anxiety and behaviour.  However, a significant proportion, in the case of family, school and self-esteem, for whom no change was observed by counsellors.  Those for whom a particular issue was not perceived as a problem at the beginning have been excluded.</w:t>
      </w:r>
    </w:p>
    <w:p w14:paraId="5C7AED92" w14:textId="1D509E2F" w:rsidR="00990209" w:rsidRDefault="00796BB7" w:rsidP="00990209">
      <w:pPr>
        <w:rPr>
          <w:rFonts w:ascii="Arial" w:hAnsi="Arial" w:cs="Arial"/>
          <w:sz w:val="24"/>
          <w:szCs w:val="24"/>
        </w:rPr>
      </w:pPr>
      <w:r>
        <w:rPr>
          <w:rFonts w:ascii="Arial" w:hAnsi="Arial" w:cs="Arial"/>
          <w:sz w:val="24"/>
          <w:szCs w:val="24"/>
        </w:rPr>
        <w:t>The SDQ was completed at beginning an</w:t>
      </w:r>
      <w:r w:rsidR="000A6033">
        <w:rPr>
          <w:rFonts w:ascii="Arial" w:hAnsi="Arial" w:cs="Arial"/>
          <w:sz w:val="24"/>
          <w:szCs w:val="24"/>
        </w:rPr>
        <w:t>d</w:t>
      </w:r>
      <w:r>
        <w:rPr>
          <w:rFonts w:ascii="Arial" w:hAnsi="Arial" w:cs="Arial"/>
          <w:sz w:val="24"/>
          <w:szCs w:val="24"/>
        </w:rPr>
        <w:t xml:space="preserve"> end by children in 53 cases.  69.8% reported an improvement at</w:t>
      </w:r>
      <w:r w:rsidR="00334EE6">
        <w:rPr>
          <w:rFonts w:ascii="Arial" w:hAnsi="Arial" w:cs="Arial"/>
          <w:sz w:val="24"/>
          <w:szCs w:val="24"/>
        </w:rPr>
        <w:t xml:space="preserve"> the end, although a further 22.6% reported a deterioration.  Comparable figures for the 50 adults completing an SDQ were 60% improvement and 32% deterioration.  Only 20 teachers had completed the measure, and were evenly split between improvement and deterioration.</w:t>
      </w:r>
    </w:p>
    <w:p w14:paraId="73B7E38A" w14:textId="2737DD29" w:rsidR="00334EE6" w:rsidRDefault="00334EE6" w:rsidP="00990209">
      <w:pPr>
        <w:rPr>
          <w:rFonts w:ascii="Arial" w:hAnsi="Arial" w:cs="Arial"/>
          <w:sz w:val="24"/>
          <w:szCs w:val="24"/>
        </w:rPr>
      </w:pPr>
      <w:r>
        <w:rPr>
          <w:rFonts w:ascii="Arial" w:hAnsi="Arial" w:cs="Arial"/>
          <w:sz w:val="24"/>
          <w:szCs w:val="24"/>
        </w:rPr>
        <w:t>The results of the satisfaction measure indicate scores of 8+ given by 92% of children (n=85), and 85% of adults (n=60).  These percentages</w:t>
      </w:r>
      <w:r w:rsidR="000A6033">
        <w:rPr>
          <w:rFonts w:ascii="Arial" w:hAnsi="Arial" w:cs="Arial"/>
          <w:sz w:val="24"/>
          <w:szCs w:val="24"/>
        </w:rPr>
        <w:t>,</w:t>
      </w:r>
      <w:r>
        <w:rPr>
          <w:rFonts w:ascii="Arial" w:hAnsi="Arial" w:cs="Arial"/>
          <w:sz w:val="24"/>
          <w:szCs w:val="24"/>
        </w:rPr>
        <w:t xml:space="preserve"> </w:t>
      </w:r>
      <w:r w:rsidR="000A6033">
        <w:rPr>
          <w:rFonts w:ascii="Arial" w:hAnsi="Arial" w:cs="Arial"/>
          <w:sz w:val="24"/>
          <w:szCs w:val="24"/>
        </w:rPr>
        <w:t xml:space="preserve">relating to cases since the introduction of the new database, </w:t>
      </w:r>
      <w:r>
        <w:rPr>
          <w:rFonts w:ascii="Arial" w:hAnsi="Arial" w:cs="Arial"/>
          <w:sz w:val="24"/>
          <w:szCs w:val="24"/>
        </w:rPr>
        <w:t>are slightly lower than those of earlier years.</w:t>
      </w:r>
      <w:r w:rsidR="000D7648">
        <w:rPr>
          <w:rFonts w:ascii="Arial" w:hAnsi="Arial" w:cs="Arial"/>
          <w:sz w:val="24"/>
          <w:szCs w:val="24"/>
        </w:rPr>
        <w:br/>
      </w:r>
    </w:p>
    <w:p w14:paraId="4314710D" w14:textId="33CBE005" w:rsidR="000D7648" w:rsidRPr="000960B1" w:rsidRDefault="000D7648" w:rsidP="000D7648">
      <w:pPr>
        <w:pStyle w:val="ListParagraph"/>
        <w:numPr>
          <w:ilvl w:val="0"/>
          <w:numId w:val="2"/>
        </w:numPr>
        <w:ind w:left="0" w:firstLine="0"/>
        <w:rPr>
          <w:rFonts w:ascii="Arial" w:hAnsi="Arial" w:cs="Arial"/>
          <w:b/>
          <w:sz w:val="24"/>
          <w:szCs w:val="24"/>
        </w:rPr>
      </w:pPr>
      <w:r>
        <w:rPr>
          <w:rFonts w:ascii="Arial" w:hAnsi="Arial" w:cs="Arial"/>
          <w:b/>
          <w:sz w:val="24"/>
          <w:szCs w:val="24"/>
        </w:rPr>
        <w:t>Conclusion</w:t>
      </w:r>
      <w:r>
        <w:rPr>
          <w:rFonts w:ascii="Arial" w:hAnsi="Arial" w:cs="Arial"/>
          <w:b/>
          <w:sz w:val="24"/>
          <w:szCs w:val="24"/>
        </w:rPr>
        <w:br/>
      </w:r>
      <w:r>
        <w:rPr>
          <w:rFonts w:ascii="Arial" w:hAnsi="Arial" w:cs="Arial"/>
          <w:sz w:val="24"/>
          <w:szCs w:val="24"/>
        </w:rPr>
        <w:br/>
        <w:t>These trend data continue to raise further issues, but have been instrumental in driving improvements in data recording, and seeking explanations of apparent anomalies.</w:t>
      </w:r>
      <w:r w:rsidR="000960B1">
        <w:rPr>
          <w:rFonts w:ascii="Arial" w:hAnsi="Arial" w:cs="Arial"/>
          <w:sz w:val="24"/>
          <w:szCs w:val="24"/>
        </w:rPr>
        <w:br/>
      </w:r>
      <w:r w:rsidR="000960B1">
        <w:rPr>
          <w:rFonts w:ascii="Arial" w:hAnsi="Arial" w:cs="Arial"/>
          <w:sz w:val="24"/>
          <w:szCs w:val="24"/>
        </w:rPr>
        <w:br/>
        <w:t>It is recommended that some keys facts are extracted for publication on the new ESCAYP website.</w:t>
      </w:r>
    </w:p>
    <w:p w14:paraId="604BD97A" w14:textId="77777777" w:rsidR="000960B1" w:rsidRDefault="000960B1" w:rsidP="000960B1">
      <w:pPr>
        <w:pStyle w:val="ListParagraph"/>
        <w:ind w:left="0"/>
        <w:rPr>
          <w:rFonts w:ascii="Arial" w:hAnsi="Arial" w:cs="Arial"/>
          <w:b/>
          <w:sz w:val="24"/>
          <w:szCs w:val="24"/>
        </w:rPr>
      </w:pPr>
    </w:p>
    <w:p w14:paraId="3395E28D" w14:textId="182114C4" w:rsidR="000D7648" w:rsidRDefault="000D7648" w:rsidP="000D7648">
      <w:pPr>
        <w:pStyle w:val="ListParagraph"/>
        <w:ind w:left="360"/>
        <w:rPr>
          <w:rFonts w:ascii="Arial" w:hAnsi="Arial" w:cs="Arial"/>
          <w:b/>
          <w:sz w:val="24"/>
          <w:szCs w:val="24"/>
        </w:rPr>
      </w:pPr>
    </w:p>
    <w:p w14:paraId="48265900" w14:textId="77777777" w:rsidR="000D7648" w:rsidRPr="000D7648" w:rsidRDefault="000D7648" w:rsidP="000D7648">
      <w:pPr>
        <w:pStyle w:val="ListParagraph"/>
        <w:ind w:left="360"/>
        <w:rPr>
          <w:rFonts w:ascii="Arial" w:hAnsi="Arial" w:cs="Arial"/>
          <w:b/>
          <w:sz w:val="24"/>
          <w:szCs w:val="24"/>
        </w:rPr>
      </w:pPr>
    </w:p>
    <w:p w14:paraId="5FFE9FF1" w14:textId="464AD3A4" w:rsidR="000D7648" w:rsidRDefault="000D7648" w:rsidP="00990209">
      <w:pPr>
        <w:rPr>
          <w:rFonts w:ascii="Arial" w:hAnsi="Arial" w:cs="Arial"/>
          <w:sz w:val="24"/>
          <w:szCs w:val="24"/>
        </w:rPr>
      </w:pPr>
    </w:p>
    <w:p w14:paraId="3FA61FE2" w14:textId="77777777" w:rsidR="000D7648" w:rsidRDefault="000D7648" w:rsidP="00990209">
      <w:pPr>
        <w:rPr>
          <w:rFonts w:ascii="Arial" w:hAnsi="Arial" w:cs="Arial"/>
          <w:sz w:val="24"/>
          <w:szCs w:val="24"/>
        </w:rPr>
      </w:pPr>
    </w:p>
    <w:p w14:paraId="7002B2EB" w14:textId="77777777" w:rsidR="00334EE6" w:rsidRDefault="00334EE6" w:rsidP="00990209">
      <w:pPr>
        <w:rPr>
          <w:rFonts w:ascii="Arial" w:hAnsi="Arial" w:cs="Arial"/>
          <w:sz w:val="24"/>
          <w:szCs w:val="24"/>
        </w:rPr>
      </w:pPr>
    </w:p>
    <w:p w14:paraId="3A96695B" w14:textId="1C1F550A" w:rsidR="009F163B" w:rsidRDefault="009F163B"/>
    <w:sectPr w:rsidR="009F163B" w:rsidSect="00BD01A9">
      <w:headerReference w:type="default" r:id="rId25"/>
      <w:footerReference w:type="default" r:id="rId26"/>
      <w:pgSz w:w="11906" w:h="16838"/>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926DD" w14:textId="77777777" w:rsidR="00782590" w:rsidRDefault="00782590" w:rsidP="00BF093F">
      <w:pPr>
        <w:spacing w:after="0" w:line="240" w:lineRule="auto"/>
      </w:pPr>
      <w:r>
        <w:separator/>
      </w:r>
    </w:p>
  </w:endnote>
  <w:endnote w:type="continuationSeparator" w:id="0">
    <w:p w14:paraId="28EB1504" w14:textId="77777777" w:rsidR="00782590" w:rsidRDefault="00782590" w:rsidP="00BF0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894652"/>
      <w:docPartObj>
        <w:docPartGallery w:val="Page Numbers (Bottom of Page)"/>
        <w:docPartUnique/>
      </w:docPartObj>
    </w:sdtPr>
    <w:sdtEndPr>
      <w:rPr>
        <w:noProof/>
      </w:rPr>
    </w:sdtEndPr>
    <w:sdtContent>
      <w:p w14:paraId="193B50A1" w14:textId="39C55E0C" w:rsidR="000D2836" w:rsidRDefault="000D28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C4C7C3" w14:textId="77777777" w:rsidR="000D2836" w:rsidRDefault="000D2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D29D4" w14:textId="77777777" w:rsidR="00782590" w:rsidRDefault="00782590" w:rsidP="00BF093F">
      <w:pPr>
        <w:spacing w:after="0" w:line="240" w:lineRule="auto"/>
      </w:pPr>
      <w:r>
        <w:separator/>
      </w:r>
    </w:p>
  </w:footnote>
  <w:footnote w:type="continuationSeparator" w:id="0">
    <w:p w14:paraId="453E2472" w14:textId="77777777" w:rsidR="00782590" w:rsidRDefault="00782590" w:rsidP="00BF0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4E96D" w14:textId="45276F46" w:rsidR="000D2836" w:rsidRDefault="000D2836">
    <w:pPr>
      <w:pStyle w:val="Header"/>
    </w:pPr>
    <w:r>
      <w:t>Imogen Brown</w:t>
    </w:r>
    <w:r>
      <w:tab/>
    </w:r>
    <w:r>
      <w:tab/>
      <w:t>October 2018</w:t>
    </w:r>
  </w:p>
  <w:p w14:paraId="14E4AD45" w14:textId="298E3AC1" w:rsidR="000D2836" w:rsidRDefault="000D2836">
    <w:pPr>
      <w:pStyle w:val="Header"/>
    </w:pPr>
    <w:r>
      <w:t>Report 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93BBE"/>
    <w:multiLevelType w:val="hybridMultilevel"/>
    <w:tmpl w:val="4EF4394E"/>
    <w:lvl w:ilvl="0" w:tplc="766C6F94">
      <w:start w:val="1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3C282F"/>
    <w:multiLevelType w:val="hybridMultilevel"/>
    <w:tmpl w:val="54442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DEE"/>
    <w:rsid w:val="0001700A"/>
    <w:rsid w:val="00022A20"/>
    <w:rsid w:val="0002316B"/>
    <w:rsid w:val="000960B1"/>
    <w:rsid w:val="000A4C63"/>
    <w:rsid w:val="000A6033"/>
    <w:rsid w:val="000B59CA"/>
    <w:rsid w:val="000D2836"/>
    <w:rsid w:val="000D7648"/>
    <w:rsid w:val="001451ED"/>
    <w:rsid w:val="00167EEC"/>
    <w:rsid w:val="001A064E"/>
    <w:rsid w:val="00207F9B"/>
    <w:rsid w:val="00291875"/>
    <w:rsid w:val="00297482"/>
    <w:rsid w:val="00323FC4"/>
    <w:rsid w:val="00334EE6"/>
    <w:rsid w:val="00393F91"/>
    <w:rsid w:val="003A3B49"/>
    <w:rsid w:val="003C5DEE"/>
    <w:rsid w:val="004530E8"/>
    <w:rsid w:val="00560A6E"/>
    <w:rsid w:val="005C3E78"/>
    <w:rsid w:val="005E578B"/>
    <w:rsid w:val="005E73D8"/>
    <w:rsid w:val="006474F9"/>
    <w:rsid w:val="006D1B84"/>
    <w:rsid w:val="00782590"/>
    <w:rsid w:val="00796BB7"/>
    <w:rsid w:val="00801C26"/>
    <w:rsid w:val="008857F4"/>
    <w:rsid w:val="008D7F6D"/>
    <w:rsid w:val="008E0920"/>
    <w:rsid w:val="008F1E55"/>
    <w:rsid w:val="00923373"/>
    <w:rsid w:val="00990209"/>
    <w:rsid w:val="0099334B"/>
    <w:rsid w:val="009960EB"/>
    <w:rsid w:val="009B3A72"/>
    <w:rsid w:val="009D68BC"/>
    <w:rsid w:val="009D7A82"/>
    <w:rsid w:val="009E306F"/>
    <w:rsid w:val="009F163B"/>
    <w:rsid w:val="009F2257"/>
    <w:rsid w:val="00A0515D"/>
    <w:rsid w:val="00A11A88"/>
    <w:rsid w:val="00A1469D"/>
    <w:rsid w:val="00A2230F"/>
    <w:rsid w:val="00A84743"/>
    <w:rsid w:val="00A86BBE"/>
    <w:rsid w:val="00AC17C0"/>
    <w:rsid w:val="00AC4DD3"/>
    <w:rsid w:val="00AD10FA"/>
    <w:rsid w:val="00AD23C2"/>
    <w:rsid w:val="00B11A55"/>
    <w:rsid w:val="00B122F8"/>
    <w:rsid w:val="00B435B8"/>
    <w:rsid w:val="00BB0C8F"/>
    <w:rsid w:val="00BB6282"/>
    <w:rsid w:val="00BC3478"/>
    <w:rsid w:val="00BD01A9"/>
    <w:rsid w:val="00BF03AF"/>
    <w:rsid w:val="00BF093F"/>
    <w:rsid w:val="00C317B9"/>
    <w:rsid w:val="00C37665"/>
    <w:rsid w:val="00CB2372"/>
    <w:rsid w:val="00CE5570"/>
    <w:rsid w:val="00CF0E66"/>
    <w:rsid w:val="00D82B78"/>
    <w:rsid w:val="00D8370C"/>
    <w:rsid w:val="00E1360B"/>
    <w:rsid w:val="00E274CE"/>
    <w:rsid w:val="00E50D2D"/>
    <w:rsid w:val="00E94CD4"/>
    <w:rsid w:val="00EA2DBE"/>
    <w:rsid w:val="00EB005B"/>
    <w:rsid w:val="00ED12D7"/>
    <w:rsid w:val="00F2481B"/>
    <w:rsid w:val="00F945A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4D4F0"/>
  <w15:chartTrackingRefBased/>
  <w15:docId w15:val="{0F68DE0C-95C3-46EB-B31B-7E637F59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5A0"/>
    <w:pPr>
      <w:ind w:left="720"/>
      <w:contextualSpacing/>
    </w:pPr>
  </w:style>
  <w:style w:type="table" w:styleId="TableGrid">
    <w:name w:val="Table Grid"/>
    <w:basedOn w:val="TableNormal"/>
    <w:uiPriority w:val="39"/>
    <w:rsid w:val="003C5DEE"/>
    <w:pPr>
      <w:spacing w:after="0" w:line="240" w:lineRule="auto"/>
    </w:pPr>
    <w:rPr>
      <w:rFonts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0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93F"/>
  </w:style>
  <w:style w:type="paragraph" w:styleId="Footer">
    <w:name w:val="footer"/>
    <w:basedOn w:val="Normal"/>
    <w:link w:val="FooterChar"/>
    <w:uiPriority w:val="99"/>
    <w:unhideWhenUsed/>
    <w:rsid w:val="00BF0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solidFill>
                  <a:sysClr val="windowText" lastClr="000000"/>
                </a:solidFill>
                <a:latin typeface="Arial" panose="020B0604020202020204" pitchFamily="34" charset="0"/>
                <a:cs typeface="Arial" panose="020B0604020202020204" pitchFamily="34" charset="0"/>
              </a:rPr>
              <a:t>Chart 1: Numbers of Referrals, Starts and Endings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6039661708953049E-2"/>
          <c:y val="0.11543650793650795"/>
          <c:w val="0.90849737532808394"/>
          <c:h val="0.66998656417947755"/>
        </c:manualLayout>
      </c:layout>
      <c:lineChart>
        <c:grouping val="standard"/>
        <c:varyColors val="0"/>
        <c:ser>
          <c:idx val="0"/>
          <c:order val="0"/>
          <c:tx>
            <c:strRef>
              <c:f>Sheet1!$B$1</c:f>
              <c:strCache>
                <c:ptCount val="1"/>
                <c:pt idx="0">
                  <c:v>Referrals</c:v>
                </c:pt>
              </c:strCache>
            </c:strRef>
          </c:tx>
          <c:spPr>
            <a:ln w="28575" cap="rnd">
              <a:solidFill>
                <a:schemeClr val="accent2"/>
              </a:solidFill>
              <a:round/>
            </a:ln>
            <a:effectLst/>
          </c:spPr>
          <c:marker>
            <c:symbol val="none"/>
          </c:marker>
          <c:dLbls>
            <c:dLbl>
              <c:idx val="3"/>
              <c:layout>
                <c:manualLayout>
                  <c:x val="-4.4120370370370372E-2"/>
                  <c:y val="-8.1319522559679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5A9-4638-8AED-C0E0E44FB84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2010</c:v>
                </c:pt>
                <c:pt idx="1">
                  <c:v>2011</c:v>
                </c:pt>
                <c:pt idx="2">
                  <c:v>2012</c:v>
                </c:pt>
                <c:pt idx="3">
                  <c:v>2013</c:v>
                </c:pt>
                <c:pt idx="4">
                  <c:v>2014</c:v>
                </c:pt>
                <c:pt idx="5">
                  <c:v>2015</c:v>
                </c:pt>
                <c:pt idx="6">
                  <c:v>2016</c:v>
                </c:pt>
                <c:pt idx="7">
                  <c:v>2017</c:v>
                </c:pt>
                <c:pt idx="8">
                  <c:v>2018*</c:v>
                </c:pt>
              </c:strCache>
            </c:strRef>
          </c:cat>
          <c:val>
            <c:numRef>
              <c:f>Sheet1!$B$2:$B$10</c:f>
              <c:numCache>
                <c:formatCode>General</c:formatCode>
                <c:ptCount val="9"/>
                <c:pt idx="0">
                  <c:v>96</c:v>
                </c:pt>
                <c:pt idx="1">
                  <c:v>59</c:v>
                </c:pt>
                <c:pt idx="2">
                  <c:v>67</c:v>
                </c:pt>
                <c:pt idx="3">
                  <c:v>90</c:v>
                </c:pt>
                <c:pt idx="4">
                  <c:v>346</c:v>
                </c:pt>
                <c:pt idx="5">
                  <c:v>404</c:v>
                </c:pt>
                <c:pt idx="6">
                  <c:v>538</c:v>
                </c:pt>
                <c:pt idx="7">
                  <c:v>418</c:v>
                </c:pt>
                <c:pt idx="8">
                  <c:v>449</c:v>
                </c:pt>
              </c:numCache>
            </c:numRef>
          </c:val>
          <c:smooth val="0"/>
          <c:extLst>
            <c:ext xmlns:c16="http://schemas.microsoft.com/office/drawing/2014/chart" uri="{C3380CC4-5D6E-409C-BE32-E72D297353CC}">
              <c16:uniqueId val="{00000001-15A9-4638-8AED-C0E0E44FB84F}"/>
            </c:ext>
          </c:extLst>
        </c:ser>
        <c:ser>
          <c:idx val="1"/>
          <c:order val="1"/>
          <c:tx>
            <c:strRef>
              <c:f>Sheet1!$C$1</c:f>
              <c:strCache>
                <c:ptCount val="1"/>
                <c:pt idx="0">
                  <c:v>Starts</c:v>
                </c:pt>
              </c:strCache>
            </c:strRef>
          </c:tx>
          <c:spPr>
            <a:ln w="28575" cap="rnd">
              <a:solidFill>
                <a:schemeClr val="accent4"/>
              </a:solidFill>
              <a:round/>
            </a:ln>
            <a:effectLst/>
          </c:spPr>
          <c:marker>
            <c:symbol val="none"/>
          </c:marker>
          <c:dLbls>
            <c:dLbl>
              <c:idx val="0"/>
              <c:layout>
                <c:manualLayout>
                  <c:x val="-5.1064814814814827E-2"/>
                  <c:y val="-1.954443194600820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5A9-4638-8AED-C0E0E44FB84F}"/>
                </c:ext>
              </c:extLst>
            </c:dLbl>
            <c:dLbl>
              <c:idx val="3"/>
              <c:layout>
                <c:manualLayout>
                  <c:x val="-6.0324074074074072E-2"/>
                  <c:y val="-4.56052368453943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5A9-4638-8AED-C0E0E44FB84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2010</c:v>
                </c:pt>
                <c:pt idx="1">
                  <c:v>2011</c:v>
                </c:pt>
                <c:pt idx="2">
                  <c:v>2012</c:v>
                </c:pt>
                <c:pt idx="3">
                  <c:v>2013</c:v>
                </c:pt>
                <c:pt idx="4">
                  <c:v>2014</c:v>
                </c:pt>
                <c:pt idx="5">
                  <c:v>2015</c:v>
                </c:pt>
                <c:pt idx="6">
                  <c:v>2016</c:v>
                </c:pt>
                <c:pt idx="7">
                  <c:v>2017</c:v>
                </c:pt>
                <c:pt idx="8">
                  <c:v>2018*</c:v>
                </c:pt>
              </c:strCache>
            </c:strRef>
          </c:cat>
          <c:val>
            <c:numRef>
              <c:f>Sheet1!$C$2:$C$10</c:f>
              <c:numCache>
                <c:formatCode>General</c:formatCode>
                <c:ptCount val="9"/>
                <c:pt idx="0">
                  <c:v>53</c:v>
                </c:pt>
                <c:pt idx="1">
                  <c:v>38</c:v>
                </c:pt>
                <c:pt idx="2">
                  <c:v>37</c:v>
                </c:pt>
                <c:pt idx="3">
                  <c:v>84</c:v>
                </c:pt>
                <c:pt idx="4">
                  <c:v>264</c:v>
                </c:pt>
                <c:pt idx="5">
                  <c:v>304</c:v>
                </c:pt>
                <c:pt idx="6">
                  <c:v>373</c:v>
                </c:pt>
                <c:pt idx="7">
                  <c:v>334</c:v>
                </c:pt>
                <c:pt idx="8">
                  <c:v>327</c:v>
                </c:pt>
              </c:numCache>
            </c:numRef>
          </c:val>
          <c:smooth val="0"/>
          <c:extLst>
            <c:ext xmlns:c16="http://schemas.microsoft.com/office/drawing/2014/chart" uri="{C3380CC4-5D6E-409C-BE32-E72D297353CC}">
              <c16:uniqueId val="{00000004-15A9-4638-8AED-C0E0E44FB84F}"/>
            </c:ext>
          </c:extLst>
        </c:ser>
        <c:ser>
          <c:idx val="2"/>
          <c:order val="2"/>
          <c:tx>
            <c:strRef>
              <c:f>Sheet1!$D$1</c:f>
              <c:strCache>
                <c:ptCount val="1"/>
                <c:pt idx="0">
                  <c:v>Endings</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2010</c:v>
                </c:pt>
                <c:pt idx="1">
                  <c:v>2011</c:v>
                </c:pt>
                <c:pt idx="2">
                  <c:v>2012</c:v>
                </c:pt>
                <c:pt idx="3">
                  <c:v>2013</c:v>
                </c:pt>
                <c:pt idx="4">
                  <c:v>2014</c:v>
                </c:pt>
                <c:pt idx="5">
                  <c:v>2015</c:v>
                </c:pt>
                <c:pt idx="6">
                  <c:v>2016</c:v>
                </c:pt>
                <c:pt idx="7">
                  <c:v>2017</c:v>
                </c:pt>
                <c:pt idx="8">
                  <c:v>2018*</c:v>
                </c:pt>
              </c:strCache>
            </c:strRef>
          </c:cat>
          <c:val>
            <c:numRef>
              <c:f>Sheet1!$D$2:$D$10</c:f>
              <c:numCache>
                <c:formatCode>General</c:formatCode>
                <c:ptCount val="9"/>
                <c:pt idx="0">
                  <c:v>46</c:v>
                </c:pt>
                <c:pt idx="1">
                  <c:v>42</c:v>
                </c:pt>
                <c:pt idx="2">
                  <c:v>36</c:v>
                </c:pt>
                <c:pt idx="3">
                  <c:v>71</c:v>
                </c:pt>
                <c:pt idx="4">
                  <c:v>185</c:v>
                </c:pt>
                <c:pt idx="5">
                  <c:v>310</c:v>
                </c:pt>
                <c:pt idx="6">
                  <c:v>385</c:v>
                </c:pt>
                <c:pt idx="7">
                  <c:v>306</c:v>
                </c:pt>
                <c:pt idx="8">
                  <c:v>182</c:v>
                </c:pt>
              </c:numCache>
            </c:numRef>
          </c:val>
          <c:smooth val="0"/>
          <c:extLst>
            <c:ext xmlns:c16="http://schemas.microsoft.com/office/drawing/2014/chart" uri="{C3380CC4-5D6E-409C-BE32-E72D297353CC}">
              <c16:uniqueId val="{00000005-15A9-4638-8AED-C0E0E44FB84F}"/>
            </c:ext>
          </c:extLst>
        </c:ser>
        <c:dLbls>
          <c:showLegendKey val="0"/>
          <c:showVal val="0"/>
          <c:showCatName val="0"/>
          <c:showSerName val="0"/>
          <c:showPercent val="0"/>
          <c:showBubbleSize val="0"/>
        </c:dLbls>
        <c:smooth val="0"/>
        <c:axId val="361051280"/>
        <c:axId val="361049640"/>
      </c:lineChart>
      <c:catAx>
        <c:axId val="361051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049640"/>
        <c:crosses val="autoZero"/>
        <c:auto val="1"/>
        <c:lblAlgn val="ctr"/>
        <c:lblOffset val="100"/>
        <c:noMultiLvlLbl val="0"/>
      </c:catAx>
      <c:valAx>
        <c:axId val="361049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051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050">
                <a:solidFill>
                  <a:sysClr val="windowText" lastClr="000000"/>
                </a:solidFill>
                <a:latin typeface="Arial" panose="020B0604020202020204" pitchFamily="34" charset="0"/>
                <a:cs typeface="Arial" panose="020B0604020202020204" pitchFamily="34" charset="0"/>
              </a:rPr>
              <a:t>Chart 10: Total sessions offered and delivered, by start year</a:t>
            </a:r>
          </a:p>
        </c:rich>
      </c:tx>
      <c:overlay val="0"/>
      <c:spPr>
        <a:noFill/>
        <a:ln>
          <a:noFill/>
        </a:ln>
        <a:effectLst/>
      </c:spPr>
      <c:txPr>
        <a:bodyPr rot="0" spcFirstLastPara="1" vertOverflow="ellipsis" vert="horz" wrap="square" anchor="ctr" anchorCtr="1"/>
        <a:lstStyle/>
        <a:p>
          <a:pPr>
            <a:defRPr sz="105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areaChart>
        <c:grouping val="standard"/>
        <c:varyColors val="0"/>
        <c:ser>
          <c:idx val="0"/>
          <c:order val="0"/>
          <c:tx>
            <c:strRef>
              <c:f>Sheet1!$B$1</c:f>
              <c:strCache>
                <c:ptCount val="1"/>
                <c:pt idx="0">
                  <c:v>Sessions offered</c:v>
                </c:pt>
              </c:strCache>
            </c:strRef>
          </c:tx>
          <c:spPr>
            <a:solidFill>
              <a:schemeClr val="accent1"/>
            </a:solidFill>
            <a:ln>
              <a:noFill/>
            </a:ln>
            <a:effectLst/>
          </c:spPr>
          <c:dLbls>
            <c:dLbl>
              <c:idx val="0"/>
              <c:layout>
                <c:manualLayout>
                  <c:x val="1.1574074074074073E-2"/>
                  <c:y val="-7.53968253968255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A61-468C-978D-ED94CB93EDFC}"/>
                </c:ext>
              </c:extLst>
            </c:dLbl>
            <c:dLbl>
              <c:idx val="1"/>
              <c:layout>
                <c:manualLayout>
                  <c:x val="2.3148148148147934E-3"/>
                  <c:y val="-9.12698412698412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A61-468C-978D-ED94CB93EDFC}"/>
                </c:ext>
              </c:extLst>
            </c:dLbl>
            <c:dLbl>
              <c:idx val="2"/>
              <c:layout>
                <c:manualLayout>
                  <c:x val="-2.3148148148148572E-3"/>
                  <c:y val="-0.1111111111111112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A61-468C-978D-ED94CB93EDFC}"/>
                </c:ext>
              </c:extLst>
            </c:dLbl>
            <c:dLbl>
              <c:idx val="3"/>
              <c:layout>
                <c:manualLayout>
                  <c:x val="-9.2592592592592587E-3"/>
                  <c:y val="-0.1865079365079365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A61-468C-978D-ED94CB93EDFC}"/>
                </c:ext>
              </c:extLst>
            </c:dLbl>
            <c:dLbl>
              <c:idx val="4"/>
              <c:layout>
                <c:manualLayout>
                  <c:x val="-6.9444444444444441E-3"/>
                  <c:y val="-0.3015873015873016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A61-468C-978D-ED94CB93EDFC}"/>
                </c:ext>
              </c:extLst>
            </c:dLbl>
            <c:dLbl>
              <c:idx val="5"/>
              <c:layout>
                <c:manualLayout>
                  <c:x val="-8.4875562720133283E-17"/>
                  <c:y val="-0.3174603174603175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A61-468C-978D-ED94CB93EDFC}"/>
                </c:ext>
              </c:extLst>
            </c:dLbl>
            <c:dLbl>
              <c:idx val="6"/>
              <c:layout>
                <c:manualLayout>
                  <c:x val="2.3148148148148147E-3"/>
                  <c:y val="-0.36904761904761907"/>
                </c:manualLayout>
              </c:layout>
              <c:spPr>
                <a:noFill/>
                <a:ln>
                  <a:noFill/>
                </a:ln>
                <a:effectLst/>
              </c:spPr>
              <c:txPr>
                <a:bodyPr rot="0" spcFirstLastPara="1" vertOverflow="ellipsis" vert="horz" wrap="square" lIns="38100" tIns="19050" rIns="38100" bIns="19050" anchor="t" anchorCtr="0">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A61-468C-978D-ED94CB93EDFC}"/>
                </c:ext>
              </c:extLst>
            </c:dLbl>
            <c:dLbl>
              <c:idx val="7"/>
              <c:layout>
                <c:manualLayout>
                  <c:x val="4.6296296296294602E-3"/>
                  <c:y val="-0.3214285714285714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A61-468C-978D-ED94CB93EDF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0</c:formatCode>
                <c:ptCount val="8"/>
                <c:pt idx="0">
                  <c:v>2010</c:v>
                </c:pt>
                <c:pt idx="1">
                  <c:v>2011</c:v>
                </c:pt>
                <c:pt idx="2">
                  <c:v>2012</c:v>
                </c:pt>
                <c:pt idx="3">
                  <c:v>2013</c:v>
                </c:pt>
                <c:pt idx="4">
                  <c:v>2014</c:v>
                </c:pt>
                <c:pt idx="5">
                  <c:v>2015</c:v>
                </c:pt>
                <c:pt idx="6">
                  <c:v>2016</c:v>
                </c:pt>
                <c:pt idx="7">
                  <c:v>2017</c:v>
                </c:pt>
              </c:numCache>
            </c:numRef>
          </c:cat>
          <c:val>
            <c:numRef>
              <c:f>Sheet1!$B$2:$B$9</c:f>
              <c:numCache>
                <c:formatCode>General</c:formatCode>
                <c:ptCount val="8"/>
                <c:pt idx="0">
                  <c:v>380</c:v>
                </c:pt>
                <c:pt idx="1">
                  <c:v>337</c:v>
                </c:pt>
                <c:pt idx="2">
                  <c:v>389</c:v>
                </c:pt>
                <c:pt idx="3">
                  <c:v>853</c:v>
                </c:pt>
                <c:pt idx="4">
                  <c:v>2814</c:v>
                </c:pt>
                <c:pt idx="5">
                  <c:v>2942</c:v>
                </c:pt>
                <c:pt idx="6">
                  <c:v>3500</c:v>
                </c:pt>
                <c:pt idx="7">
                  <c:v>2969</c:v>
                </c:pt>
              </c:numCache>
            </c:numRef>
          </c:val>
          <c:extLst>
            <c:ext xmlns:c16="http://schemas.microsoft.com/office/drawing/2014/chart" uri="{C3380CC4-5D6E-409C-BE32-E72D297353CC}">
              <c16:uniqueId val="{00000000-DA61-468C-978D-ED94CB93EDFC}"/>
            </c:ext>
          </c:extLst>
        </c:ser>
        <c:ser>
          <c:idx val="1"/>
          <c:order val="1"/>
          <c:tx>
            <c:strRef>
              <c:f>Sheet1!$C$1</c:f>
              <c:strCache>
                <c:ptCount val="1"/>
                <c:pt idx="0">
                  <c:v>Sessions attended</c:v>
                </c:pt>
              </c:strCache>
            </c:strRef>
          </c:tx>
          <c:spPr>
            <a:solidFill>
              <a:schemeClr val="accent6">
                <a:lumMod val="60000"/>
                <a:lumOff val="40000"/>
              </a:schemeClr>
            </a:solidFill>
            <a:ln>
              <a:noFill/>
            </a:ln>
            <a:effectLst/>
          </c:spPr>
          <c:dLbls>
            <c:dLbl>
              <c:idx val="0"/>
              <c:layout>
                <c:manualLayout>
                  <c:x val="1.3888888888888878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A61-468C-978D-ED94CB93EDF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0</c:formatCode>
                <c:ptCount val="8"/>
                <c:pt idx="0">
                  <c:v>2010</c:v>
                </c:pt>
                <c:pt idx="1">
                  <c:v>2011</c:v>
                </c:pt>
                <c:pt idx="2">
                  <c:v>2012</c:v>
                </c:pt>
                <c:pt idx="3">
                  <c:v>2013</c:v>
                </c:pt>
                <c:pt idx="4">
                  <c:v>2014</c:v>
                </c:pt>
                <c:pt idx="5">
                  <c:v>2015</c:v>
                </c:pt>
                <c:pt idx="6">
                  <c:v>2016</c:v>
                </c:pt>
                <c:pt idx="7">
                  <c:v>2017</c:v>
                </c:pt>
              </c:numCache>
            </c:numRef>
          </c:cat>
          <c:val>
            <c:numRef>
              <c:f>Sheet1!$C$2:$C$9</c:f>
              <c:numCache>
                <c:formatCode>General</c:formatCode>
                <c:ptCount val="8"/>
                <c:pt idx="0">
                  <c:v>310</c:v>
                </c:pt>
                <c:pt idx="1">
                  <c:v>300</c:v>
                </c:pt>
                <c:pt idx="2">
                  <c:v>332</c:v>
                </c:pt>
                <c:pt idx="3">
                  <c:v>741</c:v>
                </c:pt>
                <c:pt idx="4">
                  <c:v>2022</c:v>
                </c:pt>
                <c:pt idx="5">
                  <c:v>2216</c:v>
                </c:pt>
                <c:pt idx="6">
                  <c:v>2511</c:v>
                </c:pt>
                <c:pt idx="7">
                  <c:v>2182</c:v>
                </c:pt>
              </c:numCache>
            </c:numRef>
          </c:val>
          <c:extLst>
            <c:ext xmlns:c16="http://schemas.microsoft.com/office/drawing/2014/chart" uri="{C3380CC4-5D6E-409C-BE32-E72D297353CC}">
              <c16:uniqueId val="{00000001-DA61-468C-978D-ED94CB93EDFC}"/>
            </c:ext>
          </c:extLst>
        </c:ser>
        <c:dLbls>
          <c:showLegendKey val="0"/>
          <c:showVal val="0"/>
          <c:showCatName val="0"/>
          <c:showSerName val="0"/>
          <c:showPercent val="0"/>
          <c:showBubbleSize val="0"/>
        </c:dLbls>
        <c:axId val="534122080"/>
        <c:axId val="534122408"/>
      </c:areaChart>
      <c:catAx>
        <c:axId val="534122080"/>
        <c:scaling>
          <c:orientation val="minMax"/>
        </c:scaling>
        <c:delete val="0"/>
        <c:axPos val="b"/>
        <c:numFmt formatCode="0"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4122408"/>
        <c:crosses val="autoZero"/>
        <c:auto val="1"/>
        <c:lblAlgn val="ctr"/>
        <c:lblOffset val="100"/>
        <c:noMultiLvlLbl val="0"/>
      </c:catAx>
      <c:valAx>
        <c:axId val="534122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412208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a:t>Chart 11: Average attendance (%)</a:t>
            </a:r>
          </a:p>
        </c:rich>
      </c:tx>
      <c:overlay val="0"/>
      <c:spPr>
        <a:noFill/>
        <a:ln>
          <a:noFill/>
        </a:ln>
        <a:effectLst/>
      </c:spPr>
      <c:txPr>
        <a:bodyPr rot="0" spcFirstLastPara="1" vertOverflow="ellipsis" vert="horz" wrap="square" anchor="ctr" anchorCtr="1"/>
        <a:lstStyle/>
        <a:p>
          <a:pPr>
            <a:defRPr sz="105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Sheet1!$B$1</c:f>
              <c:strCache>
                <c:ptCount val="1"/>
                <c:pt idx="0">
                  <c:v>Average attendance (%)</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General</c:formatCode>
                <c:ptCount val="8"/>
                <c:pt idx="0">
                  <c:v>79</c:v>
                </c:pt>
                <c:pt idx="1">
                  <c:v>89.5</c:v>
                </c:pt>
                <c:pt idx="2">
                  <c:v>82.8</c:v>
                </c:pt>
                <c:pt idx="3">
                  <c:v>83.4</c:v>
                </c:pt>
                <c:pt idx="4">
                  <c:v>70.099999999999994</c:v>
                </c:pt>
                <c:pt idx="5">
                  <c:v>73.7</c:v>
                </c:pt>
                <c:pt idx="6">
                  <c:v>67.7</c:v>
                </c:pt>
                <c:pt idx="7">
                  <c:v>70.7</c:v>
                </c:pt>
              </c:numCache>
            </c:numRef>
          </c:val>
          <c:smooth val="0"/>
          <c:extLst>
            <c:ext xmlns:c16="http://schemas.microsoft.com/office/drawing/2014/chart" uri="{C3380CC4-5D6E-409C-BE32-E72D297353CC}">
              <c16:uniqueId val="{00000000-D9C8-421A-A350-93A0F575CD21}"/>
            </c:ext>
          </c:extLst>
        </c:ser>
        <c:dLbls>
          <c:showLegendKey val="0"/>
          <c:showVal val="0"/>
          <c:showCatName val="0"/>
          <c:showSerName val="0"/>
          <c:showPercent val="0"/>
          <c:showBubbleSize val="0"/>
        </c:dLbls>
        <c:smooth val="0"/>
        <c:axId val="410709600"/>
        <c:axId val="410714848"/>
      </c:lineChart>
      <c:catAx>
        <c:axId val="41070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714848"/>
        <c:crosses val="autoZero"/>
        <c:auto val="1"/>
        <c:lblAlgn val="ctr"/>
        <c:lblOffset val="100"/>
        <c:noMultiLvlLbl val="0"/>
      </c:catAx>
      <c:valAx>
        <c:axId val="410714848"/>
        <c:scaling>
          <c:orientation val="minMax"/>
          <c:min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709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050">
                <a:solidFill>
                  <a:sysClr val="windowText" lastClr="000000"/>
                </a:solidFill>
                <a:latin typeface="Arial" panose="020B0604020202020204" pitchFamily="34" charset="0"/>
                <a:cs typeface="Arial" panose="020B0604020202020204" pitchFamily="34" charset="0"/>
              </a:rPr>
              <a:t>Chart 12: Attendance rates by source of referral 2010</a:t>
            </a:r>
            <a:r>
              <a:rPr lang="en-GB" sz="1050" baseline="0">
                <a:solidFill>
                  <a:sysClr val="windowText" lastClr="000000"/>
                </a:solidFill>
                <a:latin typeface="Arial" panose="020B0604020202020204" pitchFamily="34" charset="0"/>
                <a:cs typeface="Arial" panose="020B0604020202020204" pitchFamily="34" charset="0"/>
              </a:rPr>
              <a:t> - 2017 </a:t>
            </a:r>
            <a:r>
              <a:rPr lang="en-GB" sz="1050">
                <a:solidFill>
                  <a:sysClr val="windowText" lastClr="000000"/>
                </a:solidFill>
                <a:latin typeface="Arial" panose="020B0604020202020204" pitchFamily="34" charset="0"/>
                <a:cs typeface="Arial" panose="020B0604020202020204" pitchFamily="34" charset="0"/>
              </a:rPr>
              <a:t>(%)</a:t>
            </a:r>
          </a:p>
        </c:rich>
      </c:tx>
      <c:layout>
        <c:manualLayout>
          <c:xMode val="edge"/>
          <c:yMode val="edge"/>
          <c:x val="9.8610904768979352E-2"/>
          <c:y val="2.8571428571428571E-2"/>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Sheet1!$B$1</c:f>
              <c:strCache>
                <c:ptCount val="1"/>
                <c:pt idx="0">
                  <c:v>School referrals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Sheet1!$B$2</c:f>
              <c:numCache>
                <c:formatCode>General</c:formatCode>
                <c:ptCount val="1"/>
                <c:pt idx="0">
                  <c:v>83.6</c:v>
                </c:pt>
              </c:numCache>
            </c:numRef>
          </c:val>
          <c:extLst>
            <c:ext xmlns:c16="http://schemas.microsoft.com/office/drawing/2014/chart" uri="{C3380CC4-5D6E-409C-BE32-E72D297353CC}">
              <c16:uniqueId val="{00000000-6957-4326-A8BD-B800BA5B2738}"/>
            </c:ext>
          </c:extLst>
        </c:ser>
        <c:ser>
          <c:idx val="1"/>
          <c:order val="1"/>
          <c:tx>
            <c:strRef>
              <c:f>Sheet1!$C$1</c:f>
              <c:strCache>
                <c:ptCount val="1"/>
                <c:pt idx="0">
                  <c:v>Parent referrals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Sheet1!$C$2</c:f>
              <c:numCache>
                <c:formatCode>General</c:formatCode>
                <c:ptCount val="1"/>
                <c:pt idx="0">
                  <c:v>67.599999999999994</c:v>
                </c:pt>
              </c:numCache>
            </c:numRef>
          </c:val>
          <c:extLst>
            <c:ext xmlns:c16="http://schemas.microsoft.com/office/drawing/2014/chart" uri="{C3380CC4-5D6E-409C-BE32-E72D297353CC}">
              <c16:uniqueId val="{00000001-6957-4326-A8BD-B800BA5B2738}"/>
            </c:ext>
          </c:extLst>
        </c:ser>
        <c:ser>
          <c:idx val="2"/>
          <c:order val="2"/>
          <c:tx>
            <c:strRef>
              <c:f>Sheet1!$D$1</c:f>
              <c:strCache>
                <c:ptCount val="1"/>
                <c:pt idx="0">
                  <c:v>Support worker referrals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Sheet1!$D$2</c:f>
              <c:numCache>
                <c:formatCode>General</c:formatCode>
                <c:ptCount val="1"/>
                <c:pt idx="0">
                  <c:v>45.1</c:v>
                </c:pt>
              </c:numCache>
            </c:numRef>
          </c:val>
          <c:extLst>
            <c:ext xmlns:c16="http://schemas.microsoft.com/office/drawing/2014/chart" uri="{C3380CC4-5D6E-409C-BE32-E72D297353CC}">
              <c16:uniqueId val="{00000002-6957-4326-A8BD-B800BA5B2738}"/>
            </c:ext>
          </c:extLst>
        </c:ser>
        <c:dLbls>
          <c:showLegendKey val="0"/>
          <c:showVal val="0"/>
          <c:showCatName val="0"/>
          <c:showSerName val="0"/>
          <c:showPercent val="0"/>
          <c:showBubbleSize val="0"/>
        </c:dLbls>
        <c:gapWidth val="219"/>
        <c:overlap val="-27"/>
        <c:axId val="460703792"/>
        <c:axId val="460705104"/>
      </c:barChart>
      <c:catAx>
        <c:axId val="460703792"/>
        <c:scaling>
          <c:orientation val="minMax"/>
        </c:scaling>
        <c:delete val="1"/>
        <c:axPos val="b"/>
        <c:numFmt formatCode="General" sourceLinked="1"/>
        <c:majorTickMark val="none"/>
        <c:minorTickMark val="none"/>
        <c:tickLblPos val="nextTo"/>
        <c:crossAx val="460705104"/>
        <c:crosses val="autoZero"/>
        <c:auto val="1"/>
        <c:lblAlgn val="ctr"/>
        <c:lblOffset val="100"/>
        <c:noMultiLvlLbl val="0"/>
      </c:catAx>
      <c:valAx>
        <c:axId val="460705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703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100">
                <a:solidFill>
                  <a:sysClr val="windowText" lastClr="000000"/>
                </a:solidFill>
                <a:latin typeface="Arial" panose="020B0604020202020204" pitchFamily="34" charset="0"/>
                <a:cs typeface="Arial" panose="020B0604020202020204" pitchFamily="34" charset="0"/>
              </a:rPr>
              <a:t>Chart 13: Type of ending</a:t>
            </a:r>
            <a:r>
              <a:rPr lang="en-GB" sz="1100" baseline="0">
                <a:solidFill>
                  <a:sysClr val="windowText" lastClr="000000"/>
                </a:solidFill>
                <a:latin typeface="Arial" panose="020B0604020202020204" pitchFamily="34" charset="0"/>
                <a:cs typeface="Arial" panose="020B0604020202020204" pitchFamily="34" charset="0"/>
              </a:rPr>
              <a:t> (%)</a:t>
            </a:r>
            <a:endParaRPr lang="en-GB" sz="110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percentStacked"/>
        <c:varyColors val="0"/>
        <c:ser>
          <c:idx val="0"/>
          <c:order val="0"/>
          <c:tx>
            <c:strRef>
              <c:f>Sheet1!$B$1</c:f>
              <c:strCache>
                <c:ptCount val="1"/>
                <c:pt idx="0">
                  <c:v>Planned</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2015</c:v>
                </c:pt>
                <c:pt idx="1">
                  <c:v>2016</c:v>
                </c:pt>
                <c:pt idx="2">
                  <c:v>2017</c:v>
                </c:pt>
                <c:pt idx="3">
                  <c:v>2018*</c:v>
                </c:pt>
              </c:strCache>
            </c:strRef>
          </c:cat>
          <c:val>
            <c:numRef>
              <c:f>Sheet1!$B$2:$B$5</c:f>
              <c:numCache>
                <c:formatCode>General</c:formatCode>
                <c:ptCount val="4"/>
                <c:pt idx="0">
                  <c:v>53</c:v>
                </c:pt>
                <c:pt idx="1">
                  <c:v>45</c:v>
                </c:pt>
                <c:pt idx="2">
                  <c:v>52</c:v>
                </c:pt>
                <c:pt idx="3">
                  <c:v>44</c:v>
                </c:pt>
              </c:numCache>
            </c:numRef>
          </c:val>
          <c:extLst>
            <c:ext xmlns:c16="http://schemas.microsoft.com/office/drawing/2014/chart" uri="{C3380CC4-5D6E-409C-BE32-E72D297353CC}">
              <c16:uniqueId val="{00000000-8151-404E-86DC-851D077AC175}"/>
            </c:ext>
          </c:extLst>
        </c:ser>
        <c:ser>
          <c:idx val="1"/>
          <c:order val="1"/>
          <c:tx>
            <c:strRef>
              <c:f>Sheet1!$C$1</c:f>
              <c:strCache>
                <c:ptCount val="1"/>
                <c:pt idx="0">
                  <c:v>Unplanned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2015</c:v>
                </c:pt>
                <c:pt idx="1">
                  <c:v>2016</c:v>
                </c:pt>
                <c:pt idx="2">
                  <c:v>2017</c:v>
                </c:pt>
                <c:pt idx="3">
                  <c:v>2018*</c:v>
                </c:pt>
              </c:strCache>
            </c:strRef>
          </c:cat>
          <c:val>
            <c:numRef>
              <c:f>Sheet1!$C$2:$C$5</c:f>
              <c:numCache>
                <c:formatCode>General</c:formatCode>
                <c:ptCount val="4"/>
                <c:pt idx="0">
                  <c:v>28</c:v>
                </c:pt>
                <c:pt idx="1">
                  <c:v>30</c:v>
                </c:pt>
                <c:pt idx="2">
                  <c:v>25</c:v>
                </c:pt>
                <c:pt idx="3">
                  <c:v>26</c:v>
                </c:pt>
              </c:numCache>
            </c:numRef>
          </c:val>
          <c:extLst>
            <c:ext xmlns:c16="http://schemas.microsoft.com/office/drawing/2014/chart" uri="{C3380CC4-5D6E-409C-BE32-E72D297353CC}">
              <c16:uniqueId val="{00000001-8151-404E-86DC-851D077AC175}"/>
            </c:ext>
          </c:extLst>
        </c:ser>
        <c:ser>
          <c:idx val="2"/>
          <c:order val="2"/>
          <c:tx>
            <c:strRef>
              <c:f>Sheet1!$D$1</c:f>
              <c:strCache>
                <c:ptCount val="1"/>
                <c:pt idx="0">
                  <c:v>W/D before start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2015</c:v>
                </c:pt>
                <c:pt idx="1">
                  <c:v>2016</c:v>
                </c:pt>
                <c:pt idx="2">
                  <c:v>2017</c:v>
                </c:pt>
                <c:pt idx="3">
                  <c:v>2018*</c:v>
                </c:pt>
              </c:strCache>
            </c:strRef>
          </c:cat>
          <c:val>
            <c:numRef>
              <c:f>Sheet1!$D$2:$D$5</c:f>
              <c:numCache>
                <c:formatCode>General</c:formatCode>
                <c:ptCount val="4"/>
                <c:pt idx="0">
                  <c:v>19</c:v>
                </c:pt>
                <c:pt idx="1">
                  <c:v>25</c:v>
                </c:pt>
                <c:pt idx="2">
                  <c:v>18</c:v>
                </c:pt>
                <c:pt idx="3">
                  <c:v>12</c:v>
                </c:pt>
              </c:numCache>
            </c:numRef>
          </c:val>
          <c:extLst>
            <c:ext xmlns:c16="http://schemas.microsoft.com/office/drawing/2014/chart" uri="{C3380CC4-5D6E-409C-BE32-E72D297353CC}">
              <c16:uniqueId val="{00000002-8151-404E-86DC-851D077AC175}"/>
            </c:ext>
          </c:extLst>
        </c:ser>
        <c:ser>
          <c:idx val="3"/>
          <c:order val="3"/>
          <c:tx>
            <c:strRef>
              <c:f>Sheet1!$E$1</c:f>
              <c:strCache>
                <c:ptCount val="1"/>
                <c:pt idx="0">
                  <c:v>DNA first session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2015</c:v>
                </c:pt>
                <c:pt idx="1">
                  <c:v>2016</c:v>
                </c:pt>
                <c:pt idx="2">
                  <c:v>2017</c:v>
                </c:pt>
                <c:pt idx="3">
                  <c:v>2018*</c:v>
                </c:pt>
              </c:strCache>
            </c:strRef>
          </c:cat>
          <c:val>
            <c:numRef>
              <c:f>Sheet1!$E$2:$E$5</c:f>
              <c:numCache>
                <c:formatCode>General</c:formatCode>
                <c:ptCount val="4"/>
                <c:pt idx="0">
                  <c:v>0</c:v>
                </c:pt>
                <c:pt idx="1">
                  <c:v>0</c:v>
                </c:pt>
                <c:pt idx="2">
                  <c:v>4</c:v>
                </c:pt>
                <c:pt idx="3">
                  <c:v>18</c:v>
                </c:pt>
              </c:numCache>
            </c:numRef>
          </c:val>
          <c:extLst>
            <c:ext xmlns:c16="http://schemas.microsoft.com/office/drawing/2014/chart" uri="{C3380CC4-5D6E-409C-BE32-E72D297353CC}">
              <c16:uniqueId val="{00000003-8151-404E-86DC-851D077AC175}"/>
            </c:ext>
          </c:extLst>
        </c:ser>
        <c:dLbls>
          <c:showLegendKey val="0"/>
          <c:showVal val="0"/>
          <c:showCatName val="0"/>
          <c:showSerName val="0"/>
          <c:showPercent val="0"/>
          <c:showBubbleSize val="0"/>
        </c:dLbls>
        <c:gapWidth val="150"/>
        <c:overlap val="100"/>
        <c:axId val="419464048"/>
        <c:axId val="419456504"/>
      </c:barChart>
      <c:catAx>
        <c:axId val="419464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9456504"/>
        <c:crosses val="autoZero"/>
        <c:auto val="1"/>
        <c:lblAlgn val="ctr"/>
        <c:lblOffset val="100"/>
        <c:noMultiLvlLbl val="0"/>
      </c:catAx>
      <c:valAx>
        <c:axId val="4194565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9464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solidFill>
                  <a:sysClr val="windowText" lastClr="000000"/>
                </a:solidFill>
                <a:latin typeface="Arial" panose="020B0604020202020204" pitchFamily="34" charset="0"/>
                <a:cs typeface="Arial" panose="020B0604020202020204" pitchFamily="34" charset="0"/>
              </a:rPr>
              <a:t>Chart 15:</a:t>
            </a:r>
            <a:r>
              <a:rPr lang="en-US" sz="1000" baseline="0">
                <a:solidFill>
                  <a:sysClr val="windowText" lastClr="000000"/>
                </a:solidFill>
                <a:latin typeface="Arial" panose="020B0604020202020204" pitchFamily="34" charset="0"/>
                <a:cs typeface="Arial" panose="020B0604020202020204" pitchFamily="34" charset="0"/>
              </a:rPr>
              <a:t> Breakdown of unplanned endings 2016/7</a:t>
            </a:r>
            <a:endParaRPr lang="en-US" sz="100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Unplanned endings 2016/17</c:v>
                </c:pt>
              </c:strCache>
            </c:strRef>
          </c:tx>
          <c:dPt>
            <c:idx val="0"/>
            <c:bubble3D val="0"/>
            <c:spPr>
              <a:solidFill>
                <a:schemeClr val="accent2">
                  <a:tint val="58000"/>
                </a:schemeClr>
              </a:solidFill>
              <a:ln w="19050">
                <a:solidFill>
                  <a:schemeClr val="lt1"/>
                </a:solidFill>
              </a:ln>
              <a:effectLst/>
            </c:spPr>
            <c:extLst>
              <c:ext xmlns:c16="http://schemas.microsoft.com/office/drawing/2014/chart" uri="{C3380CC4-5D6E-409C-BE32-E72D297353CC}">
                <c16:uniqueId val="{00000001-9C29-45AE-975B-C63A117B7017}"/>
              </c:ext>
            </c:extLst>
          </c:dPt>
          <c:dPt>
            <c:idx val="1"/>
            <c:bubble3D val="0"/>
            <c:spPr>
              <a:solidFill>
                <a:schemeClr val="accent2">
                  <a:tint val="86000"/>
                </a:schemeClr>
              </a:solidFill>
              <a:ln w="19050">
                <a:solidFill>
                  <a:schemeClr val="lt1"/>
                </a:solidFill>
              </a:ln>
              <a:effectLst/>
            </c:spPr>
            <c:extLst>
              <c:ext xmlns:c16="http://schemas.microsoft.com/office/drawing/2014/chart" uri="{C3380CC4-5D6E-409C-BE32-E72D297353CC}">
                <c16:uniqueId val="{00000003-9C29-45AE-975B-C63A117B7017}"/>
              </c:ext>
            </c:extLst>
          </c:dPt>
          <c:dPt>
            <c:idx val="2"/>
            <c:bubble3D val="0"/>
            <c:spPr>
              <a:solidFill>
                <a:schemeClr val="accent2">
                  <a:shade val="86000"/>
                </a:schemeClr>
              </a:solidFill>
              <a:ln w="19050">
                <a:solidFill>
                  <a:schemeClr val="lt1"/>
                </a:solidFill>
              </a:ln>
              <a:effectLst/>
            </c:spPr>
            <c:extLst>
              <c:ext xmlns:c16="http://schemas.microsoft.com/office/drawing/2014/chart" uri="{C3380CC4-5D6E-409C-BE32-E72D297353CC}">
                <c16:uniqueId val="{00000005-9C29-45AE-975B-C63A117B7017}"/>
              </c:ext>
            </c:extLst>
          </c:dPt>
          <c:dPt>
            <c:idx val="3"/>
            <c:bubble3D val="0"/>
            <c:spPr>
              <a:solidFill>
                <a:schemeClr val="accent2">
                  <a:shade val="58000"/>
                </a:schemeClr>
              </a:solidFill>
              <a:ln w="19050">
                <a:solidFill>
                  <a:schemeClr val="lt1"/>
                </a:solidFill>
              </a:ln>
              <a:effectLst/>
            </c:spPr>
            <c:extLst>
              <c:ext xmlns:c16="http://schemas.microsoft.com/office/drawing/2014/chart" uri="{C3380CC4-5D6E-409C-BE32-E72D297353CC}">
                <c16:uniqueId val="{00000007-9C29-45AE-975B-C63A117B701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Crisis</c:v>
                </c:pt>
                <c:pt idx="1">
                  <c:v>Discontinued</c:v>
                </c:pt>
                <c:pt idx="2">
                  <c:v>Lost contact</c:v>
                </c:pt>
                <c:pt idx="3">
                  <c:v>Other</c:v>
                </c:pt>
              </c:strCache>
            </c:strRef>
          </c:cat>
          <c:val>
            <c:numRef>
              <c:f>Sheet1!$B$2:$B$5</c:f>
              <c:numCache>
                <c:formatCode>General</c:formatCode>
                <c:ptCount val="4"/>
                <c:pt idx="0">
                  <c:v>4</c:v>
                </c:pt>
                <c:pt idx="1">
                  <c:v>73</c:v>
                </c:pt>
                <c:pt idx="2">
                  <c:v>153</c:v>
                </c:pt>
                <c:pt idx="3">
                  <c:v>15</c:v>
                </c:pt>
              </c:numCache>
            </c:numRef>
          </c:val>
          <c:extLst>
            <c:ext xmlns:c16="http://schemas.microsoft.com/office/drawing/2014/chart" uri="{C3380CC4-5D6E-409C-BE32-E72D297353CC}">
              <c16:uniqueId val="{00000008-9C29-45AE-975B-C63A117B701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solidFill>
                  <a:sysClr val="windowText" lastClr="000000"/>
                </a:solidFill>
                <a:latin typeface="Arial" panose="020B0604020202020204" pitchFamily="34" charset="0"/>
                <a:cs typeface="Arial" panose="020B0604020202020204" pitchFamily="34" charset="0"/>
              </a:rPr>
              <a:t>Chart 14:</a:t>
            </a:r>
            <a:r>
              <a:rPr lang="en-US" sz="1000" baseline="0">
                <a:solidFill>
                  <a:sysClr val="windowText" lastClr="000000"/>
                </a:solidFill>
                <a:latin typeface="Arial" panose="020B0604020202020204" pitchFamily="34" charset="0"/>
                <a:cs typeface="Arial" panose="020B0604020202020204" pitchFamily="34" charset="0"/>
              </a:rPr>
              <a:t> Breakdown of planned endings 2016/7</a:t>
            </a:r>
            <a:endParaRPr lang="en-US" sz="100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Planned endings 2016/17</c:v>
                </c:pt>
              </c:strCache>
            </c:strRef>
          </c:tx>
          <c:dPt>
            <c:idx val="0"/>
            <c:bubble3D val="0"/>
            <c:spPr>
              <a:solidFill>
                <a:schemeClr val="accent6">
                  <a:shade val="58000"/>
                </a:schemeClr>
              </a:solidFill>
              <a:ln w="19050">
                <a:solidFill>
                  <a:schemeClr val="lt1"/>
                </a:solidFill>
              </a:ln>
              <a:effectLst/>
            </c:spPr>
            <c:extLst>
              <c:ext xmlns:c16="http://schemas.microsoft.com/office/drawing/2014/chart" uri="{C3380CC4-5D6E-409C-BE32-E72D297353CC}">
                <c16:uniqueId val="{00000001-9099-4965-9817-E7409AA40EDD}"/>
              </c:ext>
            </c:extLst>
          </c:dPt>
          <c:dPt>
            <c:idx val="1"/>
            <c:bubble3D val="0"/>
            <c:spPr>
              <a:solidFill>
                <a:schemeClr val="accent6">
                  <a:shade val="86000"/>
                </a:schemeClr>
              </a:solidFill>
              <a:ln w="19050">
                <a:solidFill>
                  <a:schemeClr val="lt1"/>
                </a:solidFill>
              </a:ln>
              <a:effectLst/>
            </c:spPr>
            <c:extLst>
              <c:ext xmlns:c16="http://schemas.microsoft.com/office/drawing/2014/chart" uri="{C3380CC4-5D6E-409C-BE32-E72D297353CC}">
                <c16:uniqueId val="{00000003-9099-4965-9817-E7409AA40EDD}"/>
              </c:ext>
            </c:extLst>
          </c:dPt>
          <c:dPt>
            <c:idx val="2"/>
            <c:bubble3D val="0"/>
            <c:spPr>
              <a:solidFill>
                <a:schemeClr val="accent6">
                  <a:tint val="86000"/>
                </a:schemeClr>
              </a:solidFill>
              <a:ln w="19050">
                <a:solidFill>
                  <a:schemeClr val="lt1"/>
                </a:solidFill>
              </a:ln>
              <a:effectLst/>
            </c:spPr>
            <c:extLst>
              <c:ext xmlns:c16="http://schemas.microsoft.com/office/drawing/2014/chart" uri="{C3380CC4-5D6E-409C-BE32-E72D297353CC}">
                <c16:uniqueId val="{00000005-9099-4965-9817-E7409AA40EDD}"/>
              </c:ext>
            </c:extLst>
          </c:dPt>
          <c:dPt>
            <c:idx val="3"/>
            <c:bubble3D val="0"/>
            <c:spPr>
              <a:solidFill>
                <a:schemeClr val="accent6">
                  <a:tint val="58000"/>
                </a:schemeClr>
              </a:solidFill>
              <a:ln w="19050">
                <a:solidFill>
                  <a:schemeClr val="lt1"/>
                </a:solidFill>
              </a:ln>
              <a:effectLst/>
            </c:spPr>
            <c:extLst>
              <c:ext xmlns:c16="http://schemas.microsoft.com/office/drawing/2014/chart" uri="{C3380CC4-5D6E-409C-BE32-E72D297353CC}">
                <c16:uniqueId val="{00000007-9099-4965-9817-E7409AA40ED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From outset</c:v>
                </c:pt>
                <c:pt idx="1">
                  <c:v>During</c:v>
                </c:pt>
                <c:pt idx="2">
                  <c:v>End of therapy</c:v>
                </c:pt>
                <c:pt idx="3">
                  <c:v>Other</c:v>
                </c:pt>
              </c:strCache>
            </c:strRef>
          </c:cat>
          <c:val>
            <c:numRef>
              <c:f>Sheet1!$B$2:$B$5</c:f>
              <c:numCache>
                <c:formatCode>General</c:formatCode>
                <c:ptCount val="4"/>
                <c:pt idx="0">
                  <c:v>70</c:v>
                </c:pt>
                <c:pt idx="1">
                  <c:v>24</c:v>
                </c:pt>
                <c:pt idx="2">
                  <c:v>4</c:v>
                </c:pt>
                <c:pt idx="3">
                  <c:v>2</c:v>
                </c:pt>
              </c:numCache>
            </c:numRef>
          </c:val>
          <c:extLst>
            <c:ext xmlns:c16="http://schemas.microsoft.com/office/drawing/2014/chart" uri="{C3380CC4-5D6E-409C-BE32-E72D297353CC}">
              <c16:uniqueId val="{00000000-2A37-4655-BB00-3BFAB9B6431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100">
                <a:solidFill>
                  <a:sysClr val="windowText" lastClr="000000"/>
                </a:solidFill>
                <a:latin typeface="Arial" panose="020B0604020202020204" pitchFamily="34" charset="0"/>
                <a:cs typeface="Arial" panose="020B0604020202020204" pitchFamily="34" charset="0"/>
              </a:rPr>
              <a:t>Chart 16: %</a:t>
            </a:r>
            <a:r>
              <a:rPr lang="en-GB" sz="1100" baseline="0">
                <a:solidFill>
                  <a:sysClr val="windowText" lastClr="000000"/>
                </a:solidFill>
                <a:latin typeface="Arial" panose="020B0604020202020204" pitchFamily="34" charset="0"/>
                <a:cs typeface="Arial" panose="020B0604020202020204" pitchFamily="34" charset="0"/>
              </a:rPr>
              <a:t> of girls and boys presenting with issues in 2017/8</a:t>
            </a:r>
            <a:endParaRPr lang="en-GB" sz="110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Sheet1!$B$1</c:f>
              <c:strCache>
                <c:ptCount val="1"/>
                <c:pt idx="0">
                  <c:v>Girls</c:v>
                </c:pt>
              </c:strCache>
            </c:strRef>
          </c:tx>
          <c:spPr>
            <a:solidFill>
              <a:schemeClr val="accent6"/>
            </a:solidFill>
            <a:ln>
              <a:noFill/>
            </a:ln>
            <a:effectLst/>
          </c:spPr>
          <c:invertIfNegative val="0"/>
          <c:dLbls>
            <c:dLbl>
              <c:idx val="0"/>
              <c:layout>
                <c:manualLayout>
                  <c:x val="-2.3148148148148147E-3"/>
                  <c:y val="1.98412698412697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FDF-4FCF-A990-0D104670963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Sheet1!$A$2:$A$15</c:f>
              <c:strCache>
                <c:ptCount val="14"/>
                <c:pt idx="0">
                  <c:v>Anger</c:v>
                </c:pt>
                <c:pt idx="1">
                  <c:v>Anxiety</c:v>
                </c:pt>
                <c:pt idx="2">
                  <c:v>Behaviour</c:v>
                </c:pt>
                <c:pt idx="3">
                  <c:v>Bereavement</c:v>
                </c:pt>
                <c:pt idx="4">
                  <c:v>Bullying</c:v>
                </c:pt>
                <c:pt idx="5">
                  <c:v>Depression</c:v>
                </c:pt>
                <c:pt idx="6">
                  <c:v>Family</c:v>
                </c:pt>
                <c:pt idx="7">
                  <c:v>Health</c:v>
                </c:pt>
                <c:pt idx="8">
                  <c:v>Identity</c:v>
                </c:pt>
                <c:pt idx="9">
                  <c:v>Interpersonal</c:v>
                </c:pt>
                <c:pt idx="10">
                  <c:v>School</c:v>
                </c:pt>
                <c:pt idx="11">
                  <c:v>Self-esteem</c:v>
                </c:pt>
                <c:pt idx="12">
                  <c:v>Self-harm</c:v>
                </c:pt>
                <c:pt idx="13">
                  <c:v>Trauma</c:v>
                </c:pt>
              </c:strCache>
            </c:strRef>
          </c:cat>
          <c:val>
            <c:numRef>
              <c:f>Sheet1!$B$2:$B$15</c:f>
              <c:numCache>
                <c:formatCode>General</c:formatCode>
                <c:ptCount val="14"/>
                <c:pt idx="0">
                  <c:v>37</c:v>
                </c:pt>
                <c:pt idx="1">
                  <c:v>59</c:v>
                </c:pt>
                <c:pt idx="2">
                  <c:v>27</c:v>
                </c:pt>
                <c:pt idx="3">
                  <c:v>26</c:v>
                </c:pt>
                <c:pt idx="4">
                  <c:v>21</c:v>
                </c:pt>
                <c:pt idx="5">
                  <c:v>29</c:v>
                </c:pt>
                <c:pt idx="6">
                  <c:v>50</c:v>
                </c:pt>
                <c:pt idx="7">
                  <c:v>8</c:v>
                </c:pt>
                <c:pt idx="8">
                  <c:v>37</c:v>
                </c:pt>
                <c:pt idx="9">
                  <c:v>37</c:v>
                </c:pt>
                <c:pt idx="10">
                  <c:v>35</c:v>
                </c:pt>
                <c:pt idx="11">
                  <c:v>43</c:v>
                </c:pt>
                <c:pt idx="12">
                  <c:v>5</c:v>
                </c:pt>
                <c:pt idx="13">
                  <c:v>23</c:v>
                </c:pt>
              </c:numCache>
            </c:numRef>
          </c:val>
          <c:extLst>
            <c:ext xmlns:c16="http://schemas.microsoft.com/office/drawing/2014/chart" uri="{C3380CC4-5D6E-409C-BE32-E72D297353CC}">
              <c16:uniqueId val="{00000000-0FDF-4FCF-A990-0D104670963B}"/>
            </c:ext>
          </c:extLst>
        </c:ser>
        <c:ser>
          <c:idx val="1"/>
          <c:order val="1"/>
          <c:tx>
            <c:strRef>
              <c:f>Sheet1!$C$1</c:f>
              <c:strCache>
                <c:ptCount val="1"/>
                <c:pt idx="0">
                  <c:v>Boys</c:v>
                </c:pt>
              </c:strCache>
            </c:strRef>
          </c:tx>
          <c:spPr>
            <a:solidFill>
              <a:schemeClr val="accent1"/>
            </a:solidFill>
            <a:ln>
              <a:noFill/>
            </a:ln>
            <a:effectLst/>
          </c:spPr>
          <c:invertIfNegative val="0"/>
          <c:dLbls>
            <c:dLbl>
              <c:idx val="1"/>
              <c:layout>
                <c:manualLayout>
                  <c:x val="2.3148148148147934E-3"/>
                  <c:y val="1.58730158730158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FDF-4FCF-A990-0D104670963B}"/>
                </c:ext>
              </c:extLst>
            </c:dLbl>
            <c:dLbl>
              <c:idx val="3"/>
              <c:layout>
                <c:manualLayout>
                  <c:x val="0"/>
                  <c:y val="1.984126984126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FDF-4FCF-A990-0D104670963B}"/>
                </c:ext>
              </c:extLst>
            </c:dLbl>
            <c:dLbl>
              <c:idx val="6"/>
              <c:layout>
                <c:manualLayout>
                  <c:x val="2.3148148148147301E-3"/>
                  <c:y val="2.3809523809523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FDF-4FCF-A990-0D104670963B}"/>
                </c:ext>
              </c:extLst>
            </c:dLbl>
            <c:dLbl>
              <c:idx val="8"/>
              <c:layout>
                <c:manualLayout>
                  <c:x val="6.9444444444444441E-3"/>
                  <c:y val="1.984126984126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FDF-4FCF-A990-0D104670963B}"/>
                </c:ext>
              </c:extLst>
            </c:dLbl>
            <c:dLbl>
              <c:idx val="10"/>
              <c:layout>
                <c:manualLayout>
                  <c:x val="9.2592592592592587E-3"/>
                  <c:y val="7.93650793650793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FDF-4FCF-A990-0D104670963B}"/>
                </c:ext>
              </c:extLst>
            </c:dLbl>
            <c:dLbl>
              <c:idx val="11"/>
              <c:layout>
                <c:manualLayout>
                  <c:x val="6.9444444444444441E-3"/>
                  <c:y val="1.19047619047618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FDF-4FCF-A990-0D104670963B}"/>
                </c:ext>
              </c:extLst>
            </c:dLbl>
            <c:dLbl>
              <c:idx val="13"/>
              <c:layout>
                <c:manualLayout>
                  <c:x val="4.6296296296296294E-3"/>
                  <c:y val="1.58730158730157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FDF-4FCF-A990-0D104670963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Sheet1!$A$2:$A$15</c:f>
              <c:strCache>
                <c:ptCount val="14"/>
                <c:pt idx="0">
                  <c:v>Anger</c:v>
                </c:pt>
                <c:pt idx="1">
                  <c:v>Anxiety</c:v>
                </c:pt>
                <c:pt idx="2">
                  <c:v>Behaviour</c:v>
                </c:pt>
                <c:pt idx="3">
                  <c:v>Bereavement</c:v>
                </c:pt>
                <c:pt idx="4">
                  <c:v>Bullying</c:v>
                </c:pt>
                <c:pt idx="5">
                  <c:v>Depression</c:v>
                </c:pt>
                <c:pt idx="6">
                  <c:v>Family</c:v>
                </c:pt>
                <c:pt idx="7">
                  <c:v>Health</c:v>
                </c:pt>
                <c:pt idx="8">
                  <c:v>Identity</c:v>
                </c:pt>
                <c:pt idx="9">
                  <c:v>Interpersonal</c:v>
                </c:pt>
                <c:pt idx="10">
                  <c:v>School</c:v>
                </c:pt>
                <c:pt idx="11">
                  <c:v>Self-esteem</c:v>
                </c:pt>
                <c:pt idx="12">
                  <c:v>Self-harm</c:v>
                </c:pt>
                <c:pt idx="13">
                  <c:v>Trauma</c:v>
                </c:pt>
              </c:strCache>
            </c:strRef>
          </c:cat>
          <c:val>
            <c:numRef>
              <c:f>Sheet1!$C$2:$C$15</c:f>
              <c:numCache>
                <c:formatCode>General</c:formatCode>
                <c:ptCount val="14"/>
                <c:pt idx="0">
                  <c:v>43</c:v>
                </c:pt>
                <c:pt idx="1">
                  <c:v>51</c:v>
                </c:pt>
                <c:pt idx="2">
                  <c:v>40</c:v>
                </c:pt>
                <c:pt idx="3">
                  <c:v>24</c:v>
                </c:pt>
                <c:pt idx="4">
                  <c:v>9</c:v>
                </c:pt>
                <c:pt idx="5">
                  <c:v>17</c:v>
                </c:pt>
                <c:pt idx="6">
                  <c:v>49</c:v>
                </c:pt>
                <c:pt idx="7">
                  <c:v>9</c:v>
                </c:pt>
                <c:pt idx="8">
                  <c:v>32</c:v>
                </c:pt>
                <c:pt idx="9">
                  <c:v>21</c:v>
                </c:pt>
                <c:pt idx="10">
                  <c:v>33</c:v>
                </c:pt>
                <c:pt idx="11">
                  <c:v>33</c:v>
                </c:pt>
                <c:pt idx="12">
                  <c:v>4</c:v>
                </c:pt>
                <c:pt idx="13">
                  <c:v>13</c:v>
                </c:pt>
              </c:numCache>
            </c:numRef>
          </c:val>
          <c:extLst>
            <c:ext xmlns:c16="http://schemas.microsoft.com/office/drawing/2014/chart" uri="{C3380CC4-5D6E-409C-BE32-E72D297353CC}">
              <c16:uniqueId val="{00000001-0FDF-4FCF-A990-0D104670963B}"/>
            </c:ext>
          </c:extLst>
        </c:ser>
        <c:dLbls>
          <c:showLegendKey val="0"/>
          <c:showVal val="0"/>
          <c:showCatName val="0"/>
          <c:showSerName val="0"/>
          <c:showPercent val="0"/>
          <c:showBubbleSize val="0"/>
        </c:dLbls>
        <c:gapWidth val="219"/>
        <c:axId val="413750024"/>
        <c:axId val="413770360"/>
      </c:barChart>
      <c:catAx>
        <c:axId val="413750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770360"/>
        <c:crosses val="autoZero"/>
        <c:auto val="1"/>
        <c:lblAlgn val="ctr"/>
        <c:lblOffset val="100"/>
        <c:noMultiLvlLbl val="0"/>
      </c:catAx>
      <c:valAx>
        <c:axId val="413770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750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100">
                <a:solidFill>
                  <a:sysClr val="windowText" lastClr="000000"/>
                </a:solidFill>
                <a:latin typeface="Arial" panose="020B0604020202020204" pitchFamily="34" charset="0"/>
                <a:cs typeface="Arial" panose="020B0604020202020204" pitchFamily="34" charset="0"/>
              </a:rPr>
              <a:t>Chart 17: Distribution of referrals by month</a:t>
            </a:r>
            <a:r>
              <a:rPr lang="en-GB" sz="1100" baseline="0">
                <a:solidFill>
                  <a:sysClr val="windowText" lastClr="000000"/>
                </a:solidFill>
                <a:latin typeface="Arial" panose="020B0604020202020204" pitchFamily="34" charset="0"/>
                <a:cs typeface="Arial" panose="020B0604020202020204" pitchFamily="34" charset="0"/>
              </a:rPr>
              <a:t> </a:t>
            </a:r>
            <a:endParaRPr lang="en-GB" sz="110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Sheet1!$B$1</c:f>
              <c:strCache>
                <c:ptCount val="1"/>
                <c:pt idx="0">
                  <c:v>2014</c:v>
                </c:pt>
              </c:strCache>
            </c:strRef>
          </c:tx>
          <c:spPr>
            <a:ln w="28575" cap="rnd">
              <a:solidFill>
                <a:schemeClr val="accent1"/>
              </a:solidFill>
              <a:round/>
            </a:ln>
            <a:effectLst/>
          </c:spPr>
          <c:marker>
            <c:symbol val="none"/>
          </c:marke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Sheet1!$B$2:$B$13</c:f>
              <c:numCache>
                <c:formatCode>General</c:formatCode>
                <c:ptCount val="12"/>
                <c:pt idx="0">
                  <c:v>15</c:v>
                </c:pt>
                <c:pt idx="1">
                  <c:v>14</c:v>
                </c:pt>
                <c:pt idx="2">
                  <c:v>26</c:v>
                </c:pt>
                <c:pt idx="3">
                  <c:v>16</c:v>
                </c:pt>
                <c:pt idx="4">
                  <c:v>31</c:v>
                </c:pt>
                <c:pt idx="5">
                  <c:v>18</c:v>
                </c:pt>
                <c:pt idx="6">
                  <c:v>33</c:v>
                </c:pt>
                <c:pt idx="7">
                  <c:v>30</c:v>
                </c:pt>
                <c:pt idx="8">
                  <c:v>40</c:v>
                </c:pt>
                <c:pt idx="9">
                  <c:v>53</c:v>
                </c:pt>
                <c:pt idx="10">
                  <c:v>55</c:v>
                </c:pt>
                <c:pt idx="11">
                  <c:v>15</c:v>
                </c:pt>
              </c:numCache>
            </c:numRef>
          </c:val>
          <c:smooth val="0"/>
          <c:extLst>
            <c:ext xmlns:c16="http://schemas.microsoft.com/office/drawing/2014/chart" uri="{C3380CC4-5D6E-409C-BE32-E72D297353CC}">
              <c16:uniqueId val="{00000000-761C-4351-8C1A-7AF3BDA0DA93}"/>
            </c:ext>
          </c:extLst>
        </c:ser>
        <c:ser>
          <c:idx val="1"/>
          <c:order val="1"/>
          <c:tx>
            <c:strRef>
              <c:f>Sheet1!$C$1</c:f>
              <c:strCache>
                <c:ptCount val="1"/>
                <c:pt idx="0">
                  <c:v>2015</c:v>
                </c:pt>
              </c:strCache>
            </c:strRef>
          </c:tx>
          <c:spPr>
            <a:ln w="28575" cap="rnd">
              <a:solidFill>
                <a:schemeClr val="accent2"/>
              </a:solidFill>
              <a:round/>
            </a:ln>
            <a:effectLst/>
          </c:spPr>
          <c:marker>
            <c:symbol val="none"/>
          </c:marke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General</c:formatCode>
                <c:ptCount val="12"/>
                <c:pt idx="0">
                  <c:v>45</c:v>
                </c:pt>
                <c:pt idx="1">
                  <c:v>30</c:v>
                </c:pt>
                <c:pt idx="2">
                  <c:v>31</c:v>
                </c:pt>
                <c:pt idx="3">
                  <c:v>23</c:v>
                </c:pt>
                <c:pt idx="4">
                  <c:v>31</c:v>
                </c:pt>
                <c:pt idx="5">
                  <c:v>33</c:v>
                </c:pt>
                <c:pt idx="6">
                  <c:v>19</c:v>
                </c:pt>
                <c:pt idx="7">
                  <c:v>20</c:v>
                </c:pt>
                <c:pt idx="8">
                  <c:v>34</c:v>
                </c:pt>
                <c:pt idx="9">
                  <c:v>43</c:v>
                </c:pt>
                <c:pt idx="10">
                  <c:v>56</c:v>
                </c:pt>
                <c:pt idx="11">
                  <c:v>39</c:v>
                </c:pt>
              </c:numCache>
            </c:numRef>
          </c:val>
          <c:smooth val="0"/>
          <c:extLst>
            <c:ext xmlns:c16="http://schemas.microsoft.com/office/drawing/2014/chart" uri="{C3380CC4-5D6E-409C-BE32-E72D297353CC}">
              <c16:uniqueId val="{00000001-761C-4351-8C1A-7AF3BDA0DA93}"/>
            </c:ext>
          </c:extLst>
        </c:ser>
        <c:ser>
          <c:idx val="2"/>
          <c:order val="2"/>
          <c:tx>
            <c:strRef>
              <c:f>Sheet1!$D$1</c:f>
              <c:strCache>
                <c:ptCount val="1"/>
                <c:pt idx="0">
                  <c:v>2016</c:v>
                </c:pt>
              </c:strCache>
            </c:strRef>
          </c:tx>
          <c:spPr>
            <a:ln w="28575" cap="rnd">
              <a:solidFill>
                <a:schemeClr val="tx1"/>
              </a:solidFill>
              <a:round/>
            </a:ln>
            <a:effectLst/>
          </c:spPr>
          <c:marker>
            <c:symbol val="none"/>
          </c:marke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c:v>57</c:v>
                </c:pt>
                <c:pt idx="1">
                  <c:v>47</c:v>
                </c:pt>
                <c:pt idx="2">
                  <c:v>44</c:v>
                </c:pt>
                <c:pt idx="3">
                  <c:v>43</c:v>
                </c:pt>
                <c:pt idx="4">
                  <c:v>67</c:v>
                </c:pt>
                <c:pt idx="5">
                  <c:v>38</c:v>
                </c:pt>
                <c:pt idx="6">
                  <c:v>39</c:v>
                </c:pt>
                <c:pt idx="7">
                  <c:v>23</c:v>
                </c:pt>
                <c:pt idx="8">
                  <c:v>46</c:v>
                </c:pt>
                <c:pt idx="9">
                  <c:v>51</c:v>
                </c:pt>
                <c:pt idx="10">
                  <c:v>50</c:v>
                </c:pt>
                <c:pt idx="11">
                  <c:v>33</c:v>
                </c:pt>
              </c:numCache>
            </c:numRef>
          </c:val>
          <c:smooth val="0"/>
          <c:extLst>
            <c:ext xmlns:c16="http://schemas.microsoft.com/office/drawing/2014/chart" uri="{C3380CC4-5D6E-409C-BE32-E72D297353CC}">
              <c16:uniqueId val="{00000002-761C-4351-8C1A-7AF3BDA0DA93}"/>
            </c:ext>
          </c:extLst>
        </c:ser>
        <c:ser>
          <c:idx val="3"/>
          <c:order val="3"/>
          <c:tx>
            <c:strRef>
              <c:f>Sheet1!$E$1</c:f>
              <c:strCache>
                <c:ptCount val="1"/>
                <c:pt idx="0">
                  <c:v>2017</c:v>
                </c:pt>
              </c:strCache>
            </c:strRef>
          </c:tx>
          <c:spPr>
            <a:ln w="28575" cap="rnd">
              <a:solidFill>
                <a:srgbClr val="00B050"/>
              </a:solidFill>
              <a:round/>
            </a:ln>
            <a:effectLst/>
          </c:spPr>
          <c:marker>
            <c:symbol val="none"/>
          </c:marke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61</c:v>
                </c:pt>
                <c:pt idx="1">
                  <c:v>44</c:v>
                </c:pt>
                <c:pt idx="2">
                  <c:v>26</c:v>
                </c:pt>
                <c:pt idx="3">
                  <c:v>15</c:v>
                </c:pt>
                <c:pt idx="4">
                  <c:v>24</c:v>
                </c:pt>
                <c:pt idx="5">
                  <c:v>22</c:v>
                </c:pt>
                <c:pt idx="6">
                  <c:v>18</c:v>
                </c:pt>
                <c:pt idx="7">
                  <c:v>31</c:v>
                </c:pt>
                <c:pt idx="8">
                  <c:v>47</c:v>
                </c:pt>
                <c:pt idx="9">
                  <c:v>43</c:v>
                </c:pt>
                <c:pt idx="10">
                  <c:v>57</c:v>
                </c:pt>
                <c:pt idx="11">
                  <c:v>30</c:v>
                </c:pt>
              </c:numCache>
            </c:numRef>
          </c:val>
          <c:smooth val="0"/>
          <c:extLst>
            <c:ext xmlns:c16="http://schemas.microsoft.com/office/drawing/2014/chart" uri="{C3380CC4-5D6E-409C-BE32-E72D297353CC}">
              <c16:uniqueId val="{00000003-761C-4351-8C1A-7AF3BDA0DA93}"/>
            </c:ext>
          </c:extLst>
        </c:ser>
        <c:ser>
          <c:idx val="4"/>
          <c:order val="4"/>
          <c:tx>
            <c:strRef>
              <c:f>Sheet1!$F$1</c:f>
              <c:strCache>
                <c:ptCount val="1"/>
                <c:pt idx="0">
                  <c:v>2018</c:v>
                </c:pt>
              </c:strCache>
            </c:strRef>
          </c:tx>
          <c:spPr>
            <a:ln w="28575" cap="rnd">
              <a:solidFill>
                <a:srgbClr val="FF0000"/>
              </a:solidFill>
              <a:round/>
            </a:ln>
            <a:effectLst/>
          </c:spPr>
          <c:marker>
            <c:symbol val="none"/>
          </c:marke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General</c:formatCode>
                <c:ptCount val="12"/>
                <c:pt idx="0">
                  <c:v>55</c:v>
                </c:pt>
                <c:pt idx="1">
                  <c:v>46</c:v>
                </c:pt>
                <c:pt idx="2">
                  <c:v>48</c:v>
                </c:pt>
                <c:pt idx="3">
                  <c:v>53</c:v>
                </c:pt>
                <c:pt idx="4">
                  <c:v>58</c:v>
                </c:pt>
                <c:pt idx="5">
                  <c:v>49</c:v>
                </c:pt>
                <c:pt idx="6">
                  <c:v>53</c:v>
                </c:pt>
                <c:pt idx="7">
                  <c:v>34</c:v>
                </c:pt>
                <c:pt idx="8">
                  <c:v>53</c:v>
                </c:pt>
              </c:numCache>
            </c:numRef>
          </c:val>
          <c:smooth val="0"/>
          <c:extLst>
            <c:ext xmlns:c16="http://schemas.microsoft.com/office/drawing/2014/chart" uri="{C3380CC4-5D6E-409C-BE32-E72D297353CC}">
              <c16:uniqueId val="{00000004-761C-4351-8C1A-7AF3BDA0DA93}"/>
            </c:ext>
          </c:extLst>
        </c:ser>
        <c:dLbls>
          <c:showLegendKey val="0"/>
          <c:showVal val="0"/>
          <c:showCatName val="0"/>
          <c:showSerName val="0"/>
          <c:showPercent val="0"/>
          <c:showBubbleSize val="0"/>
        </c:dLbls>
        <c:smooth val="0"/>
        <c:axId val="409230528"/>
        <c:axId val="409231184"/>
      </c:lineChart>
      <c:catAx>
        <c:axId val="409230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231184"/>
        <c:crosses val="autoZero"/>
        <c:auto val="1"/>
        <c:lblAlgn val="ctr"/>
        <c:lblOffset val="100"/>
        <c:noMultiLvlLbl val="0"/>
      </c:catAx>
      <c:valAx>
        <c:axId val="409231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230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100">
                <a:solidFill>
                  <a:sysClr val="windowText" lastClr="000000"/>
                </a:solidFill>
                <a:latin typeface="Arial" panose="020B0604020202020204" pitchFamily="34" charset="0"/>
                <a:cs typeface="Arial" panose="020B0604020202020204" pitchFamily="34" charset="0"/>
              </a:rPr>
              <a:t>Chart 18: % of children showing positive and negative changes, </a:t>
            </a:r>
          </a:p>
          <a:p>
            <a:pPr algn="ctr">
              <a:defRPr sz="1100">
                <a:solidFill>
                  <a:sysClr val="windowText" lastClr="000000"/>
                </a:solidFill>
                <a:latin typeface="Arial" panose="020B0604020202020204" pitchFamily="34" charset="0"/>
                <a:cs typeface="Arial" panose="020B0604020202020204" pitchFamily="34" charset="0"/>
              </a:defRPr>
            </a:pPr>
            <a:r>
              <a:rPr lang="en-GB" sz="1100">
                <a:solidFill>
                  <a:sysClr val="windowText" lastClr="000000"/>
                </a:solidFill>
                <a:latin typeface="Arial" panose="020B0604020202020204" pitchFamily="34" charset="0"/>
                <a:cs typeface="Arial" panose="020B0604020202020204" pitchFamily="34" charset="0"/>
              </a:rPr>
              <a:t>or no change, at end compared to start of counselling</a:t>
            </a:r>
          </a:p>
        </c:rich>
      </c:tx>
      <c:layout>
        <c:manualLayout>
          <c:xMode val="edge"/>
          <c:yMode val="edge"/>
          <c:x val="0.11432870370370371"/>
          <c:y val="3.5714285714285712E-2"/>
        </c:manualLayout>
      </c:layout>
      <c:overlay val="0"/>
      <c:spPr>
        <a:noFill/>
        <a:ln>
          <a:noFill/>
        </a:ln>
        <a:effectLst/>
      </c:spPr>
      <c:txPr>
        <a:bodyPr rot="0" spcFirstLastPara="1" vertOverflow="ellipsis" vert="horz" wrap="square" anchor="ctr" anchorCtr="1"/>
        <a:lstStyle/>
        <a:p>
          <a:pPr algn="ct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Sheet1!$B$1</c:f>
              <c:strCache>
                <c:ptCount val="1"/>
                <c:pt idx="0">
                  <c:v>Positive change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Anger</c:v>
                </c:pt>
                <c:pt idx="1">
                  <c:v>Anxiety</c:v>
                </c:pt>
                <c:pt idx="2">
                  <c:v>Behaviour</c:v>
                </c:pt>
                <c:pt idx="3">
                  <c:v>Family</c:v>
                </c:pt>
                <c:pt idx="4">
                  <c:v>School</c:v>
                </c:pt>
                <c:pt idx="5">
                  <c:v>Self-esteem</c:v>
                </c:pt>
              </c:strCache>
            </c:strRef>
          </c:cat>
          <c:val>
            <c:numRef>
              <c:f>Sheet1!$B$2:$B$7</c:f>
              <c:numCache>
                <c:formatCode>General</c:formatCode>
                <c:ptCount val="6"/>
                <c:pt idx="0">
                  <c:v>80</c:v>
                </c:pt>
                <c:pt idx="1">
                  <c:v>82</c:v>
                </c:pt>
                <c:pt idx="2">
                  <c:v>86</c:v>
                </c:pt>
                <c:pt idx="3">
                  <c:v>67</c:v>
                </c:pt>
                <c:pt idx="4">
                  <c:v>72</c:v>
                </c:pt>
                <c:pt idx="5">
                  <c:v>73</c:v>
                </c:pt>
              </c:numCache>
            </c:numRef>
          </c:val>
          <c:extLst>
            <c:ext xmlns:c16="http://schemas.microsoft.com/office/drawing/2014/chart" uri="{C3380CC4-5D6E-409C-BE32-E72D297353CC}">
              <c16:uniqueId val="{00000000-5169-4E2D-8947-0B4133D83D98}"/>
            </c:ext>
          </c:extLst>
        </c:ser>
        <c:ser>
          <c:idx val="1"/>
          <c:order val="1"/>
          <c:tx>
            <c:strRef>
              <c:f>Sheet1!$C$1</c:f>
              <c:strCache>
                <c:ptCount val="1"/>
                <c:pt idx="0">
                  <c:v>Negative change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Anger</c:v>
                </c:pt>
                <c:pt idx="1">
                  <c:v>Anxiety</c:v>
                </c:pt>
                <c:pt idx="2">
                  <c:v>Behaviour</c:v>
                </c:pt>
                <c:pt idx="3">
                  <c:v>Family</c:v>
                </c:pt>
                <c:pt idx="4">
                  <c:v>School</c:v>
                </c:pt>
                <c:pt idx="5">
                  <c:v>Self-esteem</c:v>
                </c:pt>
              </c:strCache>
            </c:strRef>
          </c:cat>
          <c:val>
            <c:numRef>
              <c:f>Sheet1!$C$2:$C$7</c:f>
              <c:numCache>
                <c:formatCode>General</c:formatCode>
                <c:ptCount val="6"/>
                <c:pt idx="0">
                  <c:v>0</c:v>
                </c:pt>
                <c:pt idx="1">
                  <c:v>2</c:v>
                </c:pt>
                <c:pt idx="2">
                  <c:v>0</c:v>
                </c:pt>
                <c:pt idx="3">
                  <c:v>1</c:v>
                </c:pt>
                <c:pt idx="4">
                  <c:v>2</c:v>
                </c:pt>
                <c:pt idx="5">
                  <c:v>2</c:v>
                </c:pt>
              </c:numCache>
            </c:numRef>
          </c:val>
          <c:extLst>
            <c:ext xmlns:c16="http://schemas.microsoft.com/office/drawing/2014/chart" uri="{C3380CC4-5D6E-409C-BE32-E72D297353CC}">
              <c16:uniqueId val="{00000001-5169-4E2D-8947-0B4133D83D98}"/>
            </c:ext>
          </c:extLst>
        </c:ser>
        <c:ser>
          <c:idx val="2"/>
          <c:order val="2"/>
          <c:tx>
            <c:strRef>
              <c:f>Sheet1!$D$1</c:f>
              <c:strCache>
                <c:ptCount val="1"/>
                <c:pt idx="0">
                  <c:v>No change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Anger</c:v>
                </c:pt>
                <c:pt idx="1">
                  <c:v>Anxiety</c:v>
                </c:pt>
                <c:pt idx="2">
                  <c:v>Behaviour</c:v>
                </c:pt>
                <c:pt idx="3">
                  <c:v>Family</c:v>
                </c:pt>
                <c:pt idx="4">
                  <c:v>School</c:v>
                </c:pt>
                <c:pt idx="5">
                  <c:v>Self-esteem</c:v>
                </c:pt>
              </c:strCache>
            </c:strRef>
          </c:cat>
          <c:val>
            <c:numRef>
              <c:f>Sheet1!$D$2:$D$7</c:f>
              <c:numCache>
                <c:formatCode>General</c:formatCode>
                <c:ptCount val="6"/>
                <c:pt idx="0">
                  <c:v>0</c:v>
                </c:pt>
                <c:pt idx="1">
                  <c:v>17</c:v>
                </c:pt>
                <c:pt idx="2">
                  <c:v>0</c:v>
                </c:pt>
                <c:pt idx="3">
                  <c:v>31</c:v>
                </c:pt>
                <c:pt idx="4">
                  <c:v>23</c:v>
                </c:pt>
                <c:pt idx="5">
                  <c:v>25</c:v>
                </c:pt>
              </c:numCache>
            </c:numRef>
          </c:val>
          <c:extLst>
            <c:ext xmlns:c16="http://schemas.microsoft.com/office/drawing/2014/chart" uri="{C3380CC4-5D6E-409C-BE32-E72D297353CC}">
              <c16:uniqueId val="{00000002-5169-4E2D-8947-0B4133D83D98}"/>
            </c:ext>
          </c:extLst>
        </c:ser>
        <c:dLbls>
          <c:showLegendKey val="0"/>
          <c:showVal val="0"/>
          <c:showCatName val="0"/>
          <c:showSerName val="0"/>
          <c:showPercent val="0"/>
          <c:showBubbleSize val="0"/>
        </c:dLbls>
        <c:gapWidth val="219"/>
        <c:overlap val="-27"/>
        <c:axId val="453566136"/>
        <c:axId val="453560560"/>
      </c:barChart>
      <c:catAx>
        <c:axId val="453566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560560"/>
        <c:crosses val="autoZero"/>
        <c:auto val="1"/>
        <c:lblAlgn val="ctr"/>
        <c:lblOffset val="100"/>
        <c:noMultiLvlLbl val="0"/>
      </c:catAx>
      <c:valAx>
        <c:axId val="453560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566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solidFill>
                  <a:sysClr val="windowText" lastClr="000000"/>
                </a:solidFill>
                <a:latin typeface="Arial" panose="020B0604020202020204" pitchFamily="34" charset="0"/>
                <a:cs typeface="Arial" panose="020B0604020202020204" pitchFamily="34" charset="0"/>
              </a:rPr>
              <a:t>Chart 2: Gender % split of referrals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Female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2010</c:v>
                </c:pt>
                <c:pt idx="1">
                  <c:v>2011</c:v>
                </c:pt>
                <c:pt idx="2">
                  <c:v>2012</c:v>
                </c:pt>
                <c:pt idx="3">
                  <c:v>2013</c:v>
                </c:pt>
                <c:pt idx="4">
                  <c:v>2014</c:v>
                </c:pt>
                <c:pt idx="5">
                  <c:v>2015</c:v>
                </c:pt>
                <c:pt idx="6">
                  <c:v>2016</c:v>
                </c:pt>
                <c:pt idx="7">
                  <c:v>2017</c:v>
                </c:pt>
                <c:pt idx="8">
                  <c:v>2018*</c:v>
                </c:pt>
              </c:strCache>
            </c:strRef>
          </c:cat>
          <c:val>
            <c:numRef>
              <c:f>Sheet1!$B$2:$B$10</c:f>
              <c:numCache>
                <c:formatCode>General</c:formatCode>
                <c:ptCount val="9"/>
                <c:pt idx="0">
                  <c:v>47</c:v>
                </c:pt>
                <c:pt idx="1">
                  <c:v>59</c:v>
                </c:pt>
                <c:pt idx="2">
                  <c:v>48</c:v>
                </c:pt>
                <c:pt idx="3">
                  <c:v>49</c:v>
                </c:pt>
                <c:pt idx="4">
                  <c:v>43</c:v>
                </c:pt>
                <c:pt idx="5">
                  <c:v>45</c:v>
                </c:pt>
                <c:pt idx="6">
                  <c:v>48</c:v>
                </c:pt>
                <c:pt idx="7">
                  <c:v>54</c:v>
                </c:pt>
                <c:pt idx="8">
                  <c:v>49</c:v>
                </c:pt>
              </c:numCache>
            </c:numRef>
          </c:val>
          <c:extLst>
            <c:ext xmlns:c16="http://schemas.microsoft.com/office/drawing/2014/chart" uri="{C3380CC4-5D6E-409C-BE32-E72D297353CC}">
              <c16:uniqueId val="{00000000-DD6F-488F-84E1-EF090020223B}"/>
            </c:ext>
          </c:extLst>
        </c:ser>
        <c:ser>
          <c:idx val="1"/>
          <c:order val="1"/>
          <c:tx>
            <c:strRef>
              <c:f>Sheet1!$C$1</c:f>
              <c:strCache>
                <c:ptCount val="1"/>
                <c:pt idx="0">
                  <c:v>Male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2010</c:v>
                </c:pt>
                <c:pt idx="1">
                  <c:v>2011</c:v>
                </c:pt>
                <c:pt idx="2">
                  <c:v>2012</c:v>
                </c:pt>
                <c:pt idx="3">
                  <c:v>2013</c:v>
                </c:pt>
                <c:pt idx="4">
                  <c:v>2014</c:v>
                </c:pt>
                <c:pt idx="5">
                  <c:v>2015</c:v>
                </c:pt>
                <c:pt idx="6">
                  <c:v>2016</c:v>
                </c:pt>
                <c:pt idx="7">
                  <c:v>2017</c:v>
                </c:pt>
                <c:pt idx="8">
                  <c:v>2018*</c:v>
                </c:pt>
              </c:strCache>
            </c:strRef>
          </c:cat>
          <c:val>
            <c:numRef>
              <c:f>Sheet1!$C$2:$C$10</c:f>
              <c:numCache>
                <c:formatCode>General</c:formatCode>
                <c:ptCount val="9"/>
                <c:pt idx="0">
                  <c:v>53</c:v>
                </c:pt>
                <c:pt idx="1">
                  <c:v>41</c:v>
                </c:pt>
                <c:pt idx="2">
                  <c:v>52</c:v>
                </c:pt>
                <c:pt idx="3">
                  <c:v>51</c:v>
                </c:pt>
                <c:pt idx="4">
                  <c:v>57</c:v>
                </c:pt>
                <c:pt idx="5">
                  <c:v>55</c:v>
                </c:pt>
                <c:pt idx="6">
                  <c:v>52</c:v>
                </c:pt>
                <c:pt idx="7">
                  <c:v>46</c:v>
                </c:pt>
                <c:pt idx="8">
                  <c:v>51</c:v>
                </c:pt>
              </c:numCache>
            </c:numRef>
          </c:val>
          <c:extLst>
            <c:ext xmlns:c16="http://schemas.microsoft.com/office/drawing/2014/chart" uri="{C3380CC4-5D6E-409C-BE32-E72D297353CC}">
              <c16:uniqueId val="{00000001-DD6F-488F-84E1-EF090020223B}"/>
            </c:ext>
          </c:extLst>
        </c:ser>
        <c:dLbls>
          <c:showLegendKey val="0"/>
          <c:showVal val="0"/>
          <c:showCatName val="0"/>
          <c:showSerName val="0"/>
          <c:showPercent val="0"/>
          <c:showBubbleSize val="0"/>
        </c:dLbls>
        <c:gapWidth val="219"/>
        <c:overlap val="100"/>
        <c:axId val="234264920"/>
        <c:axId val="234265576"/>
      </c:barChart>
      <c:catAx>
        <c:axId val="234264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265576"/>
        <c:crosses val="autoZero"/>
        <c:auto val="1"/>
        <c:lblAlgn val="ctr"/>
        <c:lblOffset val="100"/>
        <c:noMultiLvlLbl val="0"/>
      </c:catAx>
      <c:valAx>
        <c:axId val="234265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264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100">
                <a:solidFill>
                  <a:sysClr val="windowText" lastClr="000000"/>
                </a:solidFill>
                <a:latin typeface="Arial" panose="020B0604020202020204" pitchFamily="34" charset="0"/>
                <a:cs typeface="Arial" panose="020B0604020202020204" pitchFamily="34" charset="0"/>
              </a:rPr>
              <a:t>Chart 3</a:t>
            </a:r>
            <a:r>
              <a:rPr lang="en-GB" sz="1200">
                <a:solidFill>
                  <a:sysClr val="windowText" lastClr="000000"/>
                </a:solidFill>
                <a:latin typeface="Arial" panose="020B0604020202020204" pitchFamily="34" charset="0"/>
                <a:cs typeface="Arial" panose="020B0604020202020204" pitchFamily="34" charset="0"/>
              </a:rPr>
              <a:t>: </a:t>
            </a:r>
            <a:r>
              <a:rPr lang="en-GB" sz="1100">
                <a:solidFill>
                  <a:sysClr val="windowText" lastClr="000000"/>
                </a:solidFill>
                <a:latin typeface="Arial" panose="020B0604020202020204" pitchFamily="34" charset="0"/>
                <a:cs typeface="Arial" panose="020B0604020202020204" pitchFamily="34" charset="0"/>
              </a:rPr>
              <a:t>Age-group % break-down of referrals</a:t>
            </a:r>
            <a:r>
              <a:rPr lang="en-GB" sz="1200">
                <a:solidFill>
                  <a:sysClr val="windowText" lastClr="000000"/>
                </a:solidFill>
                <a:latin typeface="Arial" panose="020B0604020202020204" pitchFamily="34" charset="0"/>
                <a:cs typeface="Arial" panose="020B0604020202020204" pitchFamily="34" charset="0"/>
              </a:rPr>
              <a:t> </a:t>
            </a:r>
          </a:p>
        </c:rich>
      </c:tx>
      <c:layout>
        <c:manualLayout>
          <c:xMode val="edge"/>
          <c:yMode val="edge"/>
          <c:x val="0.25383092738407703"/>
          <c:y val="3.1746031746031744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7.2984106153397496E-2"/>
          <c:y val="0.13130952380952382"/>
          <c:w val="0.90849737532808394"/>
          <c:h val="0.66998656417947755"/>
        </c:manualLayout>
      </c:layout>
      <c:barChart>
        <c:barDir val="col"/>
        <c:grouping val="stacked"/>
        <c:varyColors val="0"/>
        <c:ser>
          <c:idx val="0"/>
          <c:order val="0"/>
          <c:tx>
            <c:strRef>
              <c:f>Sheet1!$B$1</c:f>
              <c:strCache>
                <c:ptCount val="1"/>
                <c:pt idx="0">
                  <c:v>3-4 yrs</c:v>
                </c:pt>
              </c:strCache>
            </c:strRef>
          </c:tx>
          <c:spPr>
            <a:solidFill>
              <a:schemeClr val="accent1"/>
            </a:solidFill>
            <a:ln>
              <a:noFill/>
            </a:ln>
            <a:effectLst/>
          </c:spPr>
          <c:invertIfNegative val="0"/>
          <c:cat>
            <c:strRef>
              <c:f>Sheet1!$A$2:$A$10</c:f>
              <c:strCache>
                <c:ptCount val="9"/>
                <c:pt idx="0">
                  <c:v>2010</c:v>
                </c:pt>
                <c:pt idx="1">
                  <c:v>2011</c:v>
                </c:pt>
                <c:pt idx="2">
                  <c:v>2012</c:v>
                </c:pt>
                <c:pt idx="3">
                  <c:v>2013</c:v>
                </c:pt>
                <c:pt idx="4">
                  <c:v>2014</c:v>
                </c:pt>
                <c:pt idx="5">
                  <c:v>2015</c:v>
                </c:pt>
                <c:pt idx="6">
                  <c:v>2016</c:v>
                </c:pt>
                <c:pt idx="7">
                  <c:v>2017</c:v>
                </c:pt>
                <c:pt idx="8">
                  <c:v>2018*</c:v>
                </c:pt>
              </c:strCache>
            </c:strRef>
          </c:cat>
          <c:val>
            <c:numRef>
              <c:f>Sheet1!$B$2:$B$10</c:f>
              <c:numCache>
                <c:formatCode>General</c:formatCode>
                <c:ptCount val="9"/>
                <c:pt idx="0">
                  <c:v>5</c:v>
                </c:pt>
                <c:pt idx="1">
                  <c:v>3</c:v>
                </c:pt>
                <c:pt idx="2">
                  <c:v>6</c:v>
                </c:pt>
                <c:pt idx="3">
                  <c:v>1</c:v>
                </c:pt>
                <c:pt idx="4">
                  <c:v>2</c:v>
                </c:pt>
                <c:pt idx="5">
                  <c:v>3</c:v>
                </c:pt>
                <c:pt idx="6">
                  <c:v>4</c:v>
                </c:pt>
                <c:pt idx="7">
                  <c:v>4</c:v>
                </c:pt>
                <c:pt idx="8">
                  <c:v>5</c:v>
                </c:pt>
              </c:numCache>
            </c:numRef>
          </c:val>
          <c:extLst>
            <c:ext xmlns:c16="http://schemas.microsoft.com/office/drawing/2014/chart" uri="{C3380CC4-5D6E-409C-BE32-E72D297353CC}">
              <c16:uniqueId val="{00000000-82A0-4044-897D-1AA7CE43E4D2}"/>
            </c:ext>
          </c:extLst>
        </c:ser>
        <c:ser>
          <c:idx val="1"/>
          <c:order val="1"/>
          <c:tx>
            <c:strRef>
              <c:f>Sheet1!$C$1</c:f>
              <c:strCache>
                <c:ptCount val="1"/>
                <c:pt idx="0">
                  <c:v>5-10 yrs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2010</c:v>
                </c:pt>
                <c:pt idx="1">
                  <c:v>2011</c:v>
                </c:pt>
                <c:pt idx="2">
                  <c:v>2012</c:v>
                </c:pt>
                <c:pt idx="3">
                  <c:v>2013</c:v>
                </c:pt>
                <c:pt idx="4">
                  <c:v>2014</c:v>
                </c:pt>
                <c:pt idx="5">
                  <c:v>2015</c:v>
                </c:pt>
                <c:pt idx="6">
                  <c:v>2016</c:v>
                </c:pt>
                <c:pt idx="7">
                  <c:v>2017</c:v>
                </c:pt>
                <c:pt idx="8">
                  <c:v>2018*</c:v>
                </c:pt>
              </c:strCache>
            </c:strRef>
          </c:cat>
          <c:val>
            <c:numRef>
              <c:f>Sheet1!$C$2:$C$10</c:f>
              <c:numCache>
                <c:formatCode>General</c:formatCode>
                <c:ptCount val="9"/>
                <c:pt idx="0">
                  <c:v>45</c:v>
                </c:pt>
                <c:pt idx="1">
                  <c:v>41</c:v>
                </c:pt>
                <c:pt idx="2">
                  <c:v>63</c:v>
                </c:pt>
                <c:pt idx="3">
                  <c:v>59</c:v>
                </c:pt>
                <c:pt idx="4">
                  <c:v>49</c:v>
                </c:pt>
                <c:pt idx="5">
                  <c:v>56</c:v>
                </c:pt>
                <c:pt idx="6">
                  <c:v>53</c:v>
                </c:pt>
                <c:pt idx="7">
                  <c:v>52</c:v>
                </c:pt>
                <c:pt idx="8">
                  <c:v>48</c:v>
                </c:pt>
              </c:numCache>
            </c:numRef>
          </c:val>
          <c:extLst>
            <c:ext xmlns:c16="http://schemas.microsoft.com/office/drawing/2014/chart" uri="{C3380CC4-5D6E-409C-BE32-E72D297353CC}">
              <c16:uniqueId val="{00000001-82A0-4044-897D-1AA7CE43E4D2}"/>
            </c:ext>
          </c:extLst>
        </c:ser>
        <c:ser>
          <c:idx val="2"/>
          <c:order val="2"/>
          <c:tx>
            <c:strRef>
              <c:f>Sheet1!$D$1</c:f>
              <c:strCache>
                <c:ptCount val="1"/>
                <c:pt idx="0">
                  <c:v>11-16 yrs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2010</c:v>
                </c:pt>
                <c:pt idx="1">
                  <c:v>2011</c:v>
                </c:pt>
                <c:pt idx="2">
                  <c:v>2012</c:v>
                </c:pt>
                <c:pt idx="3">
                  <c:v>2013</c:v>
                </c:pt>
                <c:pt idx="4">
                  <c:v>2014</c:v>
                </c:pt>
                <c:pt idx="5">
                  <c:v>2015</c:v>
                </c:pt>
                <c:pt idx="6">
                  <c:v>2016</c:v>
                </c:pt>
                <c:pt idx="7">
                  <c:v>2017</c:v>
                </c:pt>
                <c:pt idx="8">
                  <c:v>2018*</c:v>
                </c:pt>
              </c:strCache>
            </c:strRef>
          </c:cat>
          <c:val>
            <c:numRef>
              <c:f>Sheet1!$D$2:$D$10</c:f>
              <c:numCache>
                <c:formatCode>General</c:formatCode>
                <c:ptCount val="9"/>
                <c:pt idx="0">
                  <c:v>41</c:v>
                </c:pt>
                <c:pt idx="1">
                  <c:v>46</c:v>
                </c:pt>
                <c:pt idx="2">
                  <c:v>30</c:v>
                </c:pt>
                <c:pt idx="3">
                  <c:v>36</c:v>
                </c:pt>
                <c:pt idx="4">
                  <c:v>38</c:v>
                </c:pt>
                <c:pt idx="5">
                  <c:v>35</c:v>
                </c:pt>
                <c:pt idx="6">
                  <c:v>34</c:v>
                </c:pt>
                <c:pt idx="7">
                  <c:v>35</c:v>
                </c:pt>
                <c:pt idx="8">
                  <c:v>35</c:v>
                </c:pt>
              </c:numCache>
            </c:numRef>
          </c:val>
          <c:extLst>
            <c:ext xmlns:c16="http://schemas.microsoft.com/office/drawing/2014/chart" uri="{C3380CC4-5D6E-409C-BE32-E72D297353CC}">
              <c16:uniqueId val="{00000002-82A0-4044-897D-1AA7CE43E4D2}"/>
            </c:ext>
          </c:extLst>
        </c:ser>
        <c:ser>
          <c:idx val="3"/>
          <c:order val="3"/>
          <c:tx>
            <c:strRef>
              <c:f>Sheet1!$E$1</c:f>
              <c:strCache>
                <c:ptCount val="1"/>
                <c:pt idx="0">
                  <c:v>17+ yrs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2010</c:v>
                </c:pt>
                <c:pt idx="1">
                  <c:v>2011</c:v>
                </c:pt>
                <c:pt idx="2">
                  <c:v>2012</c:v>
                </c:pt>
                <c:pt idx="3">
                  <c:v>2013</c:v>
                </c:pt>
                <c:pt idx="4">
                  <c:v>2014</c:v>
                </c:pt>
                <c:pt idx="5">
                  <c:v>2015</c:v>
                </c:pt>
                <c:pt idx="6">
                  <c:v>2016</c:v>
                </c:pt>
                <c:pt idx="7">
                  <c:v>2017</c:v>
                </c:pt>
                <c:pt idx="8">
                  <c:v>2018*</c:v>
                </c:pt>
              </c:strCache>
            </c:strRef>
          </c:cat>
          <c:val>
            <c:numRef>
              <c:f>Sheet1!$E$2:$E$10</c:f>
              <c:numCache>
                <c:formatCode>General</c:formatCode>
                <c:ptCount val="9"/>
                <c:pt idx="0">
                  <c:v>9</c:v>
                </c:pt>
                <c:pt idx="1">
                  <c:v>10</c:v>
                </c:pt>
                <c:pt idx="2">
                  <c:v>1</c:v>
                </c:pt>
                <c:pt idx="3">
                  <c:v>4</c:v>
                </c:pt>
                <c:pt idx="4">
                  <c:v>11</c:v>
                </c:pt>
                <c:pt idx="5">
                  <c:v>6</c:v>
                </c:pt>
                <c:pt idx="6">
                  <c:v>10</c:v>
                </c:pt>
                <c:pt idx="7">
                  <c:v>8</c:v>
                </c:pt>
                <c:pt idx="8">
                  <c:v>10</c:v>
                </c:pt>
              </c:numCache>
            </c:numRef>
          </c:val>
          <c:extLst>
            <c:ext xmlns:c16="http://schemas.microsoft.com/office/drawing/2014/chart" uri="{C3380CC4-5D6E-409C-BE32-E72D297353CC}">
              <c16:uniqueId val="{00000003-82A0-4044-897D-1AA7CE43E4D2}"/>
            </c:ext>
          </c:extLst>
        </c:ser>
        <c:ser>
          <c:idx val="4"/>
          <c:order val="4"/>
          <c:tx>
            <c:strRef>
              <c:f>Sheet1!$F$1</c:f>
              <c:strCache>
                <c:ptCount val="1"/>
              </c:strCache>
            </c:strRef>
          </c:tx>
          <c:spPr>
            <a:solidFill>
              <a:schemeClr val="accent5"/>
            </a:solidFill>
            <a:ln>
              <a:noFill/>
            </a:ln>
            <a:effectLst/>
          </c:spPr>
          <c:invertIfNegative val="0"/>
          <c:cat>
            <c:strRef>
              <c:f>Sheet1!$A$2:$A$10</c:f>
              <c:strCache>
                <c:ptCount val="9"/>
                <c:pt idx="0">
                  <c:v>2010</c:v>
                </c:pt>
                <c:pt idx="1">
                  <c:v>2011</c:v>
                </c:pt>
                <c:pt idx="2">
                  <c:v>2012</c:v>
                </c:pt>
                <c:pt idx="3">
                  <c:v>2013</c:v>
                </c:pt>
                <c:pt idx="4">
                  <c:v>2014</c:v>
                </c:pt>
                <c:pt idx="5">
                  <c:v>2015</c:v>
                </c:pt>
                <c:pt idx="6">
                  <c:v>2016</c:v>
                </c:pt>
                <c:pt idx="7">
                  <c:v>2017</c:v>
                </c:pt>
                <c:pt idx="8">
                  <c:v>2018*</c:v>
                </c:pt>
              </c:strCache>
            </c:strRef>
          </c:cat>
          <c:val>
            <c:numRef>
              <c:f>Sheet1!$F$2:$F$10</c:f>
              <c:numCache>
                <c:formatCode>General</c:formatCode>
                <c:ptCount val="9"/>
              </c:numCache>
            </c:numRef>
          </c:val>
          <c:extLst>
            <c:ext xmlns:c16="http://schemas.microsoft.com/office/drawing/2014/chart" uri="{C3380CC4-5D6E-409C-BE32-E72D297353CC}">
              <c16:uniqueId val="{00000004-82A0-4044-897D-1AA7CE43E4D2}"/>
            </c:ext>
          </c:extLst>
        </c:ser>
        <c:dLbls>
          <c:showLegendKey val="0"/>
          <c:showVal val="0"/>
          <c:showCatName val="0"/>
          <c:showSerName val="0"/>
          <c:showPercent val="0"/>
          <c:showBubbleSize val="0"/>
        </c:dLbls>
        <c:gapWidth val="219"/>
        <c:overlap val="100"/>
        <c:serLines>
          <c:spPr>
            <a:ln w="15875" cap="flat" cmpd="sng" algn="ctr">
              <a:solidFill>
                <a:srgbClr val="0070C0">
                  <a:alpha val="99000"/>
                </a:srgbClr>
              </a:solidFill>
              <a:round/>
            </a:ln>
            <a:effectLst/>
          </c:spPr>
        </c:serLines>
        <c:axId val="234264920"/>
        <c:axId val="234265576"/>
      </c:barChart>
      <c:catAx>
        <c:axId val="234264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265576"/>
        <c:crosses val="autoZero"/>
        <c:auto val="1"/>
        <c:lblAlgn val="ctr"/>
        <c:lblOffset val="100"/>
        <c:noMultiLvlLbl val="0"/>
      </c:catAx>
      <c:valAx>
        <c:axId val="234265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264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100">
                <a:solidFill>
                  <a:sysClr val="windowText" lastClr="000000"/>
                </a:solidFill>
                <a:latin typeface="Arial" panose="020B0604020202020204" pitchFamily="34" charset="0"/>
                <a:cs typeface="Arial" panose="020B0604020202020204" pitchFamily="34" charset="0"/>
              </a:rPr>
              <a:t>Chart 4: Ethnicity of referrals</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stacked"/>
        <c:varyColors val="0"/>
        <c:ser>
          <c:idx val="0"/>
          <c:order val="0"/>
          <c:tx>
            <c:strRef>
              <c:f>Sheet1!$B$1</c:f>
              <c:strCache>
                <c:ptCount val="1"/>
                <c:pt idx="0">
                  <c:v>Asian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2010</c:v>
                </c:pt>
                <c:pt idx="1">
                  <c:v>2011</c:v>
                </c:pt>
                <c:pt idx="2">
                  <c:v>2012</c:v>
                </c:pt>
                <c:pt idx="3">
                  <c:v>2013</c:v>
                </c:pt>
                <c:pt idx="4">
                  <c:v>2014</c:v>
                </c:pt>
                <c:pt idx="5">
                  <c:v>2015</c:v>
                </c:pt>
                <c:pt idx="6">
                  <c:v>2016</c:v>
                </c:pt>
                <c:pt idx="7">
                  <c:v>2017</c:v>
                </c:pt>
                <c:pt idx="8">
                  <c:v>2018*</c:v>
                </c:pt>
              </c:strCache>
            </c:strRef>
          </c:cat>
          <c:val>
            <c:numRef>
              <c:f>Sheet1!$B$2:$B$10</c:f>
              <c:numCache>
                <c:formatCode>General</c:formatCode>
                <c:ptCount val="9"/>
                <c:pt idx="0">
                  <c:v>2</c:v>
                </c:pt>
                <c:pt idx="1">
                  <c:v>2</c:v>
                </c:pt>
                <c:pt idx="2">
                  <c:v>1</c:v>
                </c:pt>
                <c:pt idx="3">
                  <c:v>3</c:v>
                </c:pt>
                <c:pt idx="4">
                  <c:v>8</c:v>
                </c:pt>
                <c:pt idx="5">
                  <c:v>4</c:v>
                </c:pt>
                <c:pt idx="6">
                  <c:v>5</c:v>
                </c:pt>
                <c:pt idx="7">
                  <c:v>6</c:v>
                </c:pt>
                <c:pt idx="8">
                  <c:v>5</c:v>
                </c:pt>
              </c:numCache>
            </c:numRef>
          </c:val>
          <c:extLst>
            <c:ext xmlns:c16="http://schemas.microsoft.com/office/drawing/2014/chart" uri="{C3380CC4-5D6E-409C-BE32-E72D297353CC}">
              <c16:uniqueId val="{00000000-35F4-474B-BB7B-10C8536E7085}"/>
            </c:ext>
          </c:extLst>
        </c:ser>
        <c:ser>
          <c:idx val="1"/>
          <c:order val="1"/>
          <c:tx>
            <c:strRef>
              <c:f>Sheet1!$C$1</c:f>
              <c:strCache>
                <c:ptCount val="1"/>
                <c:pt idx="0">
                  <c:v>Black</c:v>
                </c:pt>
              </c:strCache>
            </c:strRef>
          </c:tx>
          <c:spPr>
            <a:solidFill>
              <a:schemeClr val="accent2"/>
            </a:solidFill>
            <a:ln>
              <a:noFill/>
            </a:ln>
            <a:effectLst/>
          </c:spPr>
          <c:invertIfNegative val="0"/>
          <c:cat>
            <c:strRef>
              <c:f>Sheet1!$A$2:$A$10</c:f>
              <c:strCache>
                <c:ptCount val="9"/>
                <c:pt idx="0">
                  <c:v>2010</c:v>
                </c:pt>
                <c:pt idx="1">
                  <c:v>2011</c:v>
                </c:pt>
                <c:pt idx="2">
                  <c:v>2012</c:v>
                </c:pt>
                <c:pt idx="3">
                  <c:v>2013</c:v>
                </c:pt>
                <c:pt idx="4">
                  <c:v>2014</c:v>
                </c:pt>
                <c:pt idx="5">
                  <c:v>2015</c:v>
                </c:pt>
                <c:pt idx="6">
                  <c:v>2016</c:v>
                </c:pt>
                <c:pt idx="7">
                  <c:v>2017</c:v>
                </c:pt>
                <c:pt idx="8">
                  <c:v>2018*</c:v>
                </c:pt>
              </c:strCache>
            </c:strRef>
          </c:cat>
          <c:val>
            <c:numRef>
              <c:f>Sheet1!$C$2:$C$10</c:f>
              <c:numCache>
                <c:formatCode>General</c:formatCode>
                <c:ptCount val="9"/>
                <c:pt idx="0">
                  <c:v>0</c:v>
                </c:pt>
                <c:pt idx="1">
                  <c:v>2</c:v>
                </c:pt>
                <c:pt idx="2">
                  <c:v>0</c:v>
                </c:pt>
                <c:pt idx="3">
                  <c:v>1</c:v>
                </c:pt>
                <c:pt idx="4">
                  <c:v>0</c:v>
                </c:pt>
                <c:pt idx="5">
                  <c:v>1</c:v>
                </c:pt>
                <c:pt idx="6">
                  <c:v>1</c:v>
                </c:pt>
                <c:pt idx="7">
                  <c:v>0</c:v>
                </c:pt>
                <c:pt idx="8">
                  <c:v>0</c:v>
                </c:pt>
              </c:numCache>
            </c:numRef>
          </c:val>
          <c:extLst>
            <c:ext xmlns:c16="http://schemas.microsoft.com/office/drawing/2014/chart" uri="{C3380CC4-5D6E-409C-BE32-E72D297353CC}">
              <c16:uniqueId val="{00000001-35F4-474B-BB7B-10C8536E7085}"/>
            </c:ext>
          </c:extLst>
        </c:ser>
        <c:ser>
          <c:idx val="2"/>
          <c:order val="2"/>
          <c:tx>
            <c:strRef>
              <c:f>Sheet1!$D$1</c:f>
              <c:strCache>
                <c:ptCount val="1"/>
                <c:pt idx="0">
                  <c:v>Mixed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2010</c:v>
                </c:pt>
                <c:pt idx="1">
                  <c:v>2011</c:v>
                </c:pt>
                <c:pt idx="2">
                  <c:v>2012</c:v>
                </c:pt>
                <c:pt idx="3">
                  <c:v>2013</c:v>
                </c:pt>
                <c:pt idx="4">
                  <c:v>2014</c:v>
                </c:pt>
                <c:pt idx="5">
                  <c:v>2015</c:v>
                </c:pt>
                <c:pt idx="6">
                  <c:v>2016</c:v>
                </c:pt>
                <c:pt idx="7">
                  <c:v>2017</c:v>
                </c:pt>
                <c:pt idx="8">
                  <c:v>2018*</c:v>
                </c:pt>
              </c:strCache>
            </c:strRef>
          </c:cat>
          <c:val>
            <c:numRef>
              <c:f>Sheet1!$D$2:$D$10</c:f>
              <c:numCache>
                <c:formatCode>General</c:formatCode>
                <c:ptCount val="9"/>
                <c:pt idx="0">
                  <c:v>4</c:v>
                </c:pt>
                <c:pt idx="1">
                  <c:v>0</c:v>
                </c:pt>
                <c:pt idx="2">
                  <c:v>3</c:v>
                </c:pt>
                <c:pt idx="3">
                  <c:v>2</c:v>
                </c:pt>
                <c:pt idx="4">
                  <c:v>3</c:v>
                </c:pt>
                <c:pt idx="5">
                  <c:v>4</c:v>
                </c:pt>
                <c:pt idx="6">
                  <c:v>7</c:v>
                </c:pt>
                <c:pt idx="7">
                  <c:v>6</c:v>
                </c:pt>
                <c:pt idx="8">
                  <c:v>4</c:v>
                </c:pt>
              </c:numCache>
            </c:numRef>
          </c:val>
          <c:extLst>
            <c:ext xmlns:c16="http://schemas.microsoft.com/office/drawing/2014/chart" uri="{C3380CC4-5D6E-409C-BE32-E72D297353CC}">
              <c16:uniqueId val="{00000002-35F4-474B-BB7B-10C8536E7085}"/>
            </c:ext>
          </c:extLst>
        </c:ser>
        <c:ser>
          <c:idx val="3"/>
          <c:order val="3"/>
          <c:tx>
            <c:strRef>
              <c:f>Sheet1!$E$1</c:f>
              <c:strCache>
                <c:ptCount val="1"/>
                <c:pt idx="0">
                  <c:v>White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2010</c:v>
                </c:pt>
                <c:pt idx="1">
                  <c:v>2011</c:v>
                </c:pt>
                <c:pt idx="2">
                  <c:v>2012</c:v>
                </c:pt>
                <c:pt idx="3">
                  <c:v>2013</c:v>
                </c:pt>
                <c:pt idx="4">
                  <c:v>2014</c:v>
                </c:pt>
                <c:pt idx="5">
                  <c:v>2015</c:v>
                </c:pt>
                <c:pt idx="6">
                  <c:v>2016</c:v>
                </c:pt>
                <c:pt idx="7">
                  <c:v>2017</c:v>
                </c:pt>
                <c:pt idx="8">
                  <c:v>2018*</c:v>
                </c:pt>
              </c:strCache>
            </c:strRef>
          </c:cat>
          <c:val>
            <c:numRef>
              <c:f>Sheet1!$E$2:$E$10</c:f>
              <c:numCache>
                <c:formatCode>General</c:formatCode>
                <c:ptCount val="9"/>
                <c:pt idx="0">
                  <c:v>75</c:v>
                </c:pt>
                <c:pt idx="1">
                  <c:v>83</c:v>
                </c:pt>
                <c:pt idx="2">
                  <c:v>81</c:v>
                </c:pt>
                <c:pt idx="3">
                  <c:v>87</c:v>
                </c:pt>
                <c:pt idx="4">
                  <c:v>87</c:v>
                </c:pt>
                <c:pt idx="5">
                  <c:v>86</c:v>
                </c:pt>
                <c:pt idx="6">
                  <c:v>81</c:v>
                </c:pt>
                <c:pt idx="7">
                  <c:v>77</c:v>
                </c:pt>
                <c:pt idx="8">
                  <c:v>67</c:v>
                </c:pt>
              </c:numCache>
            </c:numRef>
          </c:val>
          <c:extLst>
            <c:ext xmlns:c16="http://schemas.microsoft.com/office/drawing/2014/chart" uri="{C3380CC4-5D6E-409C-BE32-E72D297353CC}">
              <c16:uniqueId val="{00000003-35F4-474B-BB7B-10C8536E7085}"/>
            </c:ext>
          </c:extLst>
        </c:ser>
        <c:ser>
          <c:idx val="4"/>
          <c:order val="4"/>
          <c:tx>
            <c:strRef>
              <c:f>Sheet1!$F$1</c:f>
              <c:strCache>
                <c:ptCount val="1"/>
                <c:pt idx="0">
                  <c:v>Other</c:v>
                </c:pt>
              </c:strCache>
            </c:strRef>
          </c:tx>
          <c:spPr>
            <a:solidFill>
              <a:schemeClr val="accent5"/>
            </a:solidFill>
            <a:ln>
              <a:noFill/>
            </a:ln>
            <a:effectLst/>
          </c:spPr>
          <c:invertIfNegative val="0"/>
          <c:cat>
            <c:strRef>
              <c:f>Sheet1!$A$2:$A$10</c:f>
              <c:strCache>
                <c:ptCount val="9"/>
                <c:pt idx="0">
                  <c:v>2010</c:v>
                </c:pt>
                <c:pt idx="1">
                  <c:v>2011</c:v>
                </c:pt>
                <c:pt idx="2">
                  <c:v>2012</c:v>
                </c:pt>
                <c:pt idx="3">
                  <c:v>2013</c:v>
                </c:pt>
                <c:pt idx="4">
                  <c:v>2014</c:v>
                </c:pt>
                <c:pt idx="5">
                  <c:v>2015</c:v>
                </c:pt>
                <c:pt idx="6">
                  <c:v>2016</c:v>
                </c:pt>
                <c:pt idx="7">
                  <c:v>2017</c:v>
                </c:pt>
                <c:pt idx="8">
                  <c:v>2018*</c:v>
                </c:pt>
              </c:strCache>
            </c:strRef>
          </c:cat>
          <c:val>
            <c:numRef>
              <c:f>Sheet1!$F$2:$F$10</c:f>
              <c:numCache>
                <c:formatCode>General</c:formatCode>
                <c:ptCount val="9"/>
                <c:pt idx="0">
                  <c:v>0</c:v>
                </c:pt>
                <c:pt idx="1">
                  <c:v>0</c:v>
                </c:pt>
                <c:pt idx="2">
                  <c:v>0</c:v>
                </c:pt>
                <c:pt idx="3">
                  <c:v>0</c:v>
                </c:pt>
                <c:pt idx="4">
                  <c:v>1</c:v>
                </c:pt>
                <c:pt idx="5">
                  <c:v>2</c:v>
                </c:pt>
                <c:pt idx="6">
                  <c:v>2</c:v>
                </c:pt>
                <c:pt idx="7">
                  <c:v>3</c:v>
                </c:pt>
                <c:pt idx="8">
                  <c:v>4</c:v>
                </c:pt>
              </c:numCache>
            </c:numRef>
          </c:val>
          <c:extLst>
            <c:ext xmlns:c16="http://schemas.microsoft.com/office/drawing/2014/chart" uri="{C3380CC4-5D6E-409C-BE32-E72D297353CC}">
              <c16:uniqueId val="{00000004-35F4-474B-BB7B-10C8536E7085}"/>
            </c:ext>
          </c:extLst>
        </c:ser>
        <c:ser>
          <c:idx val="5"/>
          <c:order val="5"/>
          <c:tx>
            <c:strRef>
              <c:f>Sheet1!$G$1</c:f>
              <c:strCache>
                <c:ptCount val="1"/>
                <c:pt idx="0">
                  <c:v>N/A</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2010</c:v>
                </c:pt>
                <c:pt idx="1">
                  <c:v>2011</c:v>
                </c:pt>
                <c:pt idx="2">
                  <c:v>2012</c:v>
                </c:pt>
                <c:pt idx="3">
                  <c:v>2013</c:v>
                </c:pt>
                <c:pt idx="4">
                  <c:v>2014</c:v>
                </c:pt>
                <c:pt idx="5">
                  <c:v>2015</c:v>
                </c:pt>
                <c:pt idx="6">
                  <c:v>2016</c:v>
                </c:pt>
                <c:pt idx="7">
                  <c:v>2017</c:v>
                </c:pt>
                <c:pt idx="8">
                  <c:v>2018*</c:v>
                </c:pt>
              </c:strCache>
            </c:strRef>
          </c:cat>
          <c:val>
            <c:numRef>
              <c:f>Sheet1!$G$2:$G$10</c:f>
              <c:numCache>
                <c:formatCode>General</c:formatCode>
                <c:ptCount val="9"/>
                <c:pt idx="0">
                  <c:v>19</c:v>
                </c:pt>
                <c:pt idx="1">
                  <c:v>14</c:v>
                </c:pt>
                <c:pt idx="2">
                  <c:v>15</c:v>
                </c:pt>
                <c:pt idx="3">
                  <c:v>7</c:v>
                </c:pt>
                <c:pt idx="4">
                  <c:v>1</c:v>
                </c:pt>
                <c:pt idx="5">
                  <c:v>3</c:v>
                </c:pt>
                <c:pt idx="6">
                  <c:v>4</c:v>
                </c:pt>
                <c:pt idx="7">
                  <c:v>8</c:v>
                </c:pt>
                <c:pt idx="8">
                  <c:v>21</c:v>
                </c:pt>
              </c:numCache>
            </c:numRef>
          </c:val>
          <c:extLst>
            <c:ext xmlns:c16="http://schemas.microsoft.com/office/drawing/2014/chart" uri="{C3380CC4-5D6E-409C-BE32-E72D297353CC}">
              <c16:uniqueId val="{00000005-35F4-474B-BB7B-10C8536E7085}"/>
            </c:ext>
          </c:extLst>
        </c:ser>
        <c:dLbls>
          <c:showLegendKey val="0"/>
          <c:showVal val="0"/>
          <c:showCatName val="0"/>
          <c:showSerName val="0"/>
          <c:showPercent val="0"/>
          <c:showBubbleSize val="0"/>
        </c:dLbls>
        <c:gapWidth val="219"/>
        <c:overlap val="100"/>
        <c:axId val="234264920"/>
        <c:axId val="234265576"/>
      </c:barChart>
      <c:catAx>
        <c:axId val="234264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265576"/>
        <c:crosses val="autoZero"/>
        <c:auto val="1"/>
        <c:lblAlgn val="ctr"/>
        <c:lblOffset val="100"/>
        <c:noMultiLvlLbl val="0"/>
      </c:catAx>
      <c:valAx>
        <c:axId val="234265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264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100">
                <a:solidFill>
                  <a:sysClr val="windowText" lastClr="000000"/>
                </a:solidFill>
                <a:latin typeface="Arial" panose="020B0604020202020204" pitchFamily="34" charset="0"/>
                <a:cs typeface="Arial" panose="020B0604020202020204" pitchFamily="34" charset="0"/>
              </a:rPr>
              <a:t>Chart 5: Source of referrals at 2 year intervals</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7.0391513560804905E-2"/>
          <c:y val="0.12337301587301588"/>
          <c:w val="0.92960848643919514"/>
          <c:h val="0.66998656417947755"/>
        </c:manualLayout>
      </c:layout>
      <c:barChart>
        <c:barDir val="col"/>
        <c:grouping val="clustered"/>
        <c:varyColors val="0"/>
        <c:ser>
          <c:idx val="0"/>
          <c:order val="0"/>
          <c:tx>
            <c:strRef>
              <c:f>Sheet1!$B$1</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Self</c:v>
                </c:pt>
                <c:pt idx="1">
                  <c:v>Family</c:v>
                </c:pt>
                <c:pt idx="2">
                  <c:v>Carer</c:v>
                </c:pt>
                <c:pt idx="3">
                  <c:v>Support worker</c:v>
                </c:pt>
                <c:pt idx="4">
                  <c:v>School/College</c:v>
                </c:pt>
                <c:pt idx="5">
                  <c:v>Health</c:v>
                </c:pt>
                <c:pt idx="6">
                  <c:v>Other</c:v>
                </c:pt>
              </c:strCache>
            </c:strRef>
          </c:cat>
          <c:val>
            <c:numRef>
              <c:f>Sheet1!$B$2:$B$8</c:f>
              <c:numCache>
                <c:formatCode>General</c:formatCode>
                <c:ptCount val="7"/>
                <c:pt idx="0">
                  <c:v>3</c:v>
                </c:pt>
                <c:pt idx="1">
                  <c:v>39</c:v>
                </c:pt>
                <c:pt idx="2">
                  <c:v>1</c:v>
                </c:pt>
                <c:pt idx="3">
                  <c:v>2</c:v>
                </c:pt>
                <c:pt idx="4">
                  <c:v>21</c:v>
                </c:pt>
                <c:pt idx="5">
                  <c:v>1</c:v>
                </c:pt>
                <c:pt idx="6">
                  <c:v>0</c:v>
                </c:pt>
              </c:numCache>
            </c:numRef>
          </c:val>
          <c:extLst>
            <c:ext xmlns:c16="http://schemas.microsoft.com/office/drawing/2014/chart" uri="{C3380CC4-5D6E-409C-BE32-E72D297353CC}">
              <c16:uniqueId val="{00000000-EA2C-4FC9-AFC5-4F35F24BB250}"/>
            </c:ext>
          </c:extLst>
        </c:ser>
        <c:ser>
          <c:idx val="1"/>
          <c:order val="1"/>
          <c:tx>
            <c:strRef>
              <c:f>Sheet1!$C$1</c:f>
              <c:strCache>
                <c:ptCount val="1"/>
                <c:pt idx="0">
                  <c:v>2014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Self</c:v>
                </c:pt>
                <c:pt idx="1">
                  <c:v>Family</c:v>
                </c:pt>
                <c:pt idx="2">
                  <c:v>Carer</c:v>
                </c:pt>
                <c:pt idx="3">
                  <c:v>Support worker</c:v>
                </c:pt>
                <c:pt idx="4">
                  <c:v>School/College</c:v>
                </c:pt>
                <c:pt idx="5">
                  <c:v>Health</c:v>
                </c:pt>
                <c:pt idx="6">
                  <c:v>Other</c:v>
                </c:pt>
              </c:strCache>
            </c:strRef>
          </c:cat>
          <c:val>
            <c:numRef>
              <c:f>Sheet1!$C$2:$C$8</c:f>
              <c:numCache>
                <c:formatCode>General</c:formatCode>
                <c:ptCount val="7"/>
                <c:pt idx="0">
                  <c:v>7</c:v>
                </c:pt>
                <c:pt idx="1">
                  <c:v>142</c:v>
                </c:pt>
                <c:pt idx="2">
                  <c:v>4</c:v>
                </c:pt>
                <c:pt idx="3">
                  <c:v>65</c:v>
                </c:pt>
                <c:pt idx="4">
                  <c:v>119</c:v>
                </c:pt>
                <c:pt idx="5">
                  <c:v>1</c:v>
                </c:pt>
                <c:pt idx="6">
                  <c:v>8</c:v>
                </c:pt>
              </c:numCache>
            </c:numRef>
          </c:val>
          <c:extLst>
            <c:ext xmlns:c16="http://schemas.microsoft.com/office/drawing/2014/chart" uri="{C3380CC4-5D6E-409C-BE32-E72D297353CC}">
              <c16:uniqueId val="{00000001-EA2C-4FC9-AFC5-4F35F24BB250}"/>
            </c:ext>
          </c:extLst>
        </c:ser>
        <c:ser>
          <c:idx val="2"/>
          <c:order val="2"/>
          <c:tx>
            <c:strRef>
              <c:f>Sheet1!$D$1</c:f>
              <c:strCache>
                <c:ptCount val="1"/>
                <c:pt idx="0">
                  <c:v>2016</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Self</c:v>
                </c:pt>
                <c:pt idx="1">
                  <c:v>Family</c:v>
                </c:pt>
                <c:pt idx="2">
                  <c:v>Carer</c:v>
                </c:pt>
                <c:pt idx="3">
                  <c:v>Support worker</c:v>
                </c:pt>
                <c:pt idx="4">
                  <c:v>School/College</c:v>
                </c:pt>
                <c:pt idx="5">
                  <c:v>Health</c:v>
                </c:pt>
                <c:pt idx="6">
                  <c:v>Other</c:v>
                </c:pt>
              </c:strCache>
            </c:strRef>
          </c:cat>
          <c:val>
            <c:numRef>
              <c:f>Sheet1!$D$2:$D$8</c:f>
              <c:numCache>
                <c:formatCode>General</c:formatCode>
                <c:ptCount val="7"/>
                <c:pt idx="0">
                  <c:v>22</c:v>
                </c:pt>
                <c:pt idx="1">
                  <c:v>186</c:v>
                </c:pt>
                <c:pt idx="2">
                  <c:v>13</c:v>
                </c:pt>
                <c:pt idx="3">
                  <c:v>107</c:v>
                </c:pt>
                <c:pt idx="4">
                  <c:v>186</c:v>
                </c:pt>
                <c:pt idx="5">
                  <c:v>6</c:v>
                </c:pt>
                <c:pt idx="6">
                  <c:v>18</c:v>
                </c:pt>
              </c:numCache>
            </c:numRef>
          </c:val>
          <c:extLst>
            <c:ext xmlns:c16="http://schemas.microsoft.com/office/drawing/2014/chart" uri="{C3380CC4-5D6E-409C-BE32-E72D297353CC}">
              <c16:uniqueId val="{00000002-EA2C-4FC9-AFC5-4F35F24BB250}"/>
            </c:ext>
          </c:extLst>
        </c:ser>
        <c:ser>
          <c:idx val="3"/>
          <c:order val="3"/>
          <c:tx>
            <c:strRef>
              <c:f>Sheet1!$E$1</c:f>
              <c:strCache>
                <c:ptCount val="1"/>
                <c:pt idx="0">
                  <c:v>2018*</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Self</c:v>
                </c:pt>
                <c:pt idx="1">
                  <c:v>Family</c:v>
                </c:pt>
                <c:pt idx="2">
                  <c:v>Carer</c:v>
                </c:pt>
                <c:pt idx="3">
                  <c:v>Support worker</c:v>
                </c:pt>
                <c:pt idx="4">
                  <c:v>School/College</c:v>
                </c:pt>
                <c:pt idx="5">
                  <c:v>Health</c:v>
                </c:pt>
                <c:pt idx="6">
                  <c:v>Other</c:v>
                </c:pt>
              </c:strCache>
            </c:strRef>
          </c:cat>
          <c:val>
            <c:numRef>
              <c:f>Sheet1!$E$2:$E$8</c:f>
              <c:numCache>
                <c:formatCode>General</c:formatCode>
                <c:ptCount val="7"/>
                <c:pt idx="0">
                  <c:v>25</c:v>
                </c:pt>
                <c:pt idx="1">
                  <c:v>231</c:v>
                </c:pt>
                <c:pt idx="2">
                  <c:v>1</c:v>
                </c:pt>
                <c:pt idx="3">
                  <c:v>57</c:v>
                </c:pt>
                <c:pt idx="4">
                  <c:v>116</c:v>
                </c:pt>
                <c:pt idx="5">
                  <c:v>7</c:v>
                </c:pt>
                <c:pt idx="6">
                  <c:v>9</c:v>
                </c:pt>
              </c:numCache>
            </c:numRef>
          </c:val>
          <c:extLst>
            <c:ext xmlns:c16="http://schemas.microsoft.com/office/drawing/2014/chart" uri="{C3380CC4-5D6E-409C-BE32-E72D297353CC}">
              <c16:uniqueId val="{00000003-EA2C-4FC9-AFC5-4F35F24BB250}"/>
            </c:ext>
          </c:extLst>
        </c:ser>
        <c:dLbls>
          <c:showLegendKey val="0"/>
          <c:showVal val="0"/>
          <c:showCatName val="0"/>
          <c:showSerName val="0"/>
          <c:showPercent val="0"/>
          <c:showBubbleSize val="0"/>
        </c:dLbls>
        <c:gapWidth val="150"/>
        <c:axId val="448546184"/>
        <c:axId val="448545200"/>
      </c:barChart>
      <c:catAx>
        <c:axId val="448546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8545200"/>
        <c:crosses val="autoZero"/>
        <c:auto val="1"/>
        <c:lblAlgn val="ctr"/>
        <c:lblOffset val="100"/>
        <c:noMultiLvlLbl val="0"/>
      </c:catAx>
      <c:valAx>
        <c:axId val="448545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85461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100">
                <a:solidFill>
                  <a:sysClr val="windowText" lastClr="000000"/>
                </a:solidFill>
                <a:latin typeface="Arial" panose="020B0604020202020204" pitchFamily="34" charset="0"/>
                <a:cs typeface="Arial" panose="020B0604020202020204" pitchFamily="34" charset="0"/>
              </a:rPr>
              <a:t>Chart 6: Number of referrals by Local Authority area</a:t>
            </a:r>
          </a:p>
        </c:rich>
      </c:tx>
      <c:overlay val="0"/>
      <c:spPr>
        <a:noFill/>
        <a:ln>
          <a:noFill/>
        </a:ln>
        <a:effectLst/>
      </c:spPr>
    </c:title>
    <c:autoTitleDeleted val="0"/>
    <c:plotArea>
      <c:layout/>
      <c:lineChart>
        <c:grouping val="standard"/>
        <c:varyColors val="0"/>
        <c:ser>
          <c:idx val="0"/>
          <c:order val="0"/>
          <c:tx>
            <c:strRef>
              <c:f>Sheet1!$B$1</c:f>
              <c:strCache>
                <c:ptCount val="1"/>
                <c:pt idx="0">
                  <c:v>Bradford</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2010</c:v>
                </c:pt>
                <c:pt idx="1">
                  <c:v>2011</c:v>
                </c:pt>
                <c:pt idx="2">
                  <c:v>2012</c:v>
                </c:pt>
                <c:pt idx="3">
                  <c:v>2013</c:v>
                </c:pt>
                <c:pt idx="4">
                  <c:v>2014</c:v>
                </c:pt>
                <c:pt idx="5">
                  <c:v>2015</c:v>
                </c:pt>
                <c:pt idx="6">
                  <c:v>2016</c:v>
                </c:pt>
                <c:pt idx="7">
                  <c:v>2017</c:v>
                </c:pt>
                <c:pt idx="8">
                  <c:v>2018*</c:v>
                </c:pt>
              </c:strCache>
            </c:strRef>
          </c:cat>
          <c:val>
            <c:numRef>
              <c:f>Sheet1!$B$2:$B$10</c:f>
              <c:numCache>
                <c:formatCode>General</c:formatCode>
                <c:ptCount val="9"/>
                <c:pt idx="0">
                  <c:v>24</c:v>
                </c:pt>
                <c:pt idx="1">
                  <c:v>0</c:v>
                </c:pt>
                <c:pt idx="2">
                  <c:v>7</c:v>
                </c:pt>
                <c:pt idx="3">
                  <c:v>8</c:v>
                </c:pt>
                <c:pt idx="4">
                  <c:v>42</c:v>
                </c:pt>
                <c:pt idx="5">
                  <c:v>52</c:v>
                </c:pt>
                <c:pt idx="6">
                  <c:v>92</c:v>
                </c:pt>
                <c:pt idx="7">
                  <c:v>87</c:v>
                </c:pt>
                <c:pt idx="8">
                  <c:v>76</c:v>
                </c:pt>
              </c:numCache>
            </c:numRef>
          </c:val>
          <c:smooth val="0"/>
          <c:extLst>
            <c:ext xmlns:c16="http://schemas.microsoft.com/office/drawing/2014/chart" uri="{C3380CC4-5D6E-409C-BE32-E72D297353CC}">
              <c16:uniqueId val="{00000000-B604-4483-8E4A-41CEF4D6ECEC}"/>
            </c:ext>
          </c:extLst>
        </c:ser>
        <c:ser>
          <c:idx val="1"/>
          <c:order val="1"/>
          <c:tx>
            <c:strRef>
              <c:f>Sheet1!$C$1</c:f>
              <c:strCache>
                <c:ptCount val="1"/>
                <c:pt idx="0">
                  <c:v>Calderdale</c:v>
                </c:pt>
              </c:strCache>
            </c:strRef>
          </c:tx>
          <c:spPr>
            <a:ln w="28575" cap="rnd">
              <a:solidFill>
                <a:schemeClr val="accent2"/>
              </a:solidFill>
              <a:round/>
            </a:ln>
            <a:effectLst/>
          </c:spPr>
          <c:marker>
            <c:symbol val="none"/>
          </c:marker>
          <c:cat>
            <c:strRef>
              <c:f>Sheet1!$A$2:$A$10</c:f>
              <c:strCache>
                <c:ptCount val="9"/>
                <c:pt idx="0">
                  <c:v>2010</c:v>
                </c:pt>
                <c:pt idx="1">
                  <c:v>2011</c:v>
                </c:pt>
                <c:pt idx="2">
                  <c:v>2012</c:v>
                </c:pt>
                <c:pt idx="3">
                  <c:v>2013</c:v>
                </c:pt>
                <c:pt idx="4">
                  <c:v>2014</c:v>
                </c:pt>
                <c:pt idx="5">
                  <c:v>2015</c:v>
                </c:pt>
                <c:pt idx="6">
                  <c:v>2016</c:v>
                </c:pt>
                <c:pt idx="7">
                  <c:v>2017</c:v>
                </c:pt>
                <c:pt idx="8">
                  <c:v>2018*</c:v>
                </c:pt>
              </c:strCache>
            </c:strRef>
          </c:cat>
          <c:val>
            <c:numRef>
              <c:f>Sheet1!$C$2:$C$10</c:f>
              <c:numCache>
                <c:formatCode>General</c:formatCode>
                <c:ptCount val="9"/>
                <c:pt idx="0">
                  <c:v>0</c:v>
                </c:pt>
                <c:pt idx="1">
                  <c:v>1</c:v>
                </c:pt>
                <c:pt idx="2">
                  <c:v>1</c:v>
                </c:pt>
                <c:pt idx="3">
                  <c:v>2</c:v>
                </c:pt>
                <c:pt idx="4">
                  <c:v>11</c:v>
                </c:pt>
                <c:pt idx="5">
                  <c:v>29</c:v>
                </c:pt>
                <c:pt idx="6">
                  <c:v>47</c:v>
                </c:pt>
                <c:pt idx="7">
                  <c:v>48</c:v>
                </c:pt>
                <c:pt idx="8">
                  <c:v>29</c:v>
                </c:pt>
              </c:numCache>
            </c:numRef>
          </c:val>
          <c:smooth val="0"/>
          <c:extLst>
            <c:ext xmlns:c16="http://schemas.microsoft.com/office/drawing/2014/chart" uri="{C3380CC4-5D6E-409C-BE32-E72D297353CC}">
              <c16:uniqueId val="{00000001-B604-4483-8E4A-41CEF4D6ECEC}"/>
            </c:ext>
          </c:extLst>
        </c:ser>
        <c:ser>
          <c:idx val="2"/>
          <c:order val="2"/>
          <c:tx>
            <c:strRef>
              <c:f>Sheet1!$D$1</c:f>
              <c:strCache>
                <c:ptCount val="1"/>
                <c:pt idx="0">
                  <c:v>Kirklees</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2010</c:v>
                </c:pt>
                <c:pt idx="1">
                  <c:v>2011</c:v>
                </c:pt>
                <c:pt idx="2">
                  <c:v>2012</c:v>
                </c:pt>
                <c:pt idx="3">
                  <c:v>2013</c:v>
                </c:pt>
                <c:pt idx="4">
                  <c:v>2014</c:v>
                </c:pt>
                <c:pt idx="5">
                  <c:v>2015</c:v>
                </c:pt>
                <c:pt idx="6">
                  <c:v>2016</c:v>
                </c:pt>
                <c:pt idx="7">
                  <c:v>2017</c:v>
                </c:pt>
                <c:pt idx="8">
                  <c:v>2018*</c:v>
                </c:pt>
              </c:strCache>
            </c:strRef>
          </c:cat>
          <c:val>
            <c:numRef>
              <c:f>Sheet1!$D$2:$D$10</c:f>
              <c:numCache>
                <c:formatCode>General</c:formatCode>
                <c:ptCount val="9"/>
                <c:pt idx="0">
                  <c:v>40</c:v>
                </c:pt>
                <c:pt idx="1">
                  <c:v>38</c:v>
                </c:pt>
                <c:pt idx="2">
                  <c:v>38</c:v>
                </c:pt>
                <c:pt idx="3">
                  <c:v>66</c:v>
                </c:pt>
                <c:pt idx="4">
                  <c:v>261</c:v>
                </c:pt>
                <c:pt idx="5">
                  <c:v>280</c:v>
                </c:pt>
                <c:pt idx="6">
                  <c:v>290</c:v>
                </c:pt>
                <c:pt idx="7">
                  <c:v>216</c:v>
                </c:pt>
                <c:pt idx="8">
                  <c:v>255</c:v>
                </c:pt>
              </c:numCache>
            </c:numRef>
          </c:val>
          <c:smooth val="0"/>
          <c:extLst>
            <c:ext xmlns:c16="http://schemas.microsoft.com/office/drawing/2014/chart" uri="{C3380CC4-5D6E-409C-BE32-E72D297353CC}">
              <c16:uniqueId val="{00000002-B604-4483-8E4A-41CEF4D6ECEC}"/>
            </c:ext>
          </c:extLst>
        </c:ser>
        <c:ser>
          <c:idx val="3"/>
          <c:order val="3"/>
          <c:tx>
            <c:strRef>
              <c:f>Sheet1!$E$1</c:f>
              <c:strCache>
                <c:ptCount val="1"/>
                <c:pt idx="0">
                  <c:v>Leeds</c:v>
                </c:pt>
              </c:strCache>
            </c:strRef>
          </c:tx>
          <c:spPr>
            <a:ln w="28575" cap="rnd">
              <a:solidFill>
                <a:schemeClr val="accent4"/>
              </a:solidFill>
              <a:round/>
            </a:ln>
            <a:effectLst/>
          </c:spPr>
          <c:marker>
            <c:symbol val="none"/>
          </c:marker>
          <c:dLbls>
            <c:dLbl>
              <c:idx val="5"/>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B604-4483-8E4A-41CEF4D6ECEC}"/>
                </c:ext>
              </c:extLst>
            </c:dLbl>
            <c:dLbl>
              <c:idx val="6"/>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4-B604-4483-8E4A-41CEF4D6ECEC}"/>
                </c:ext>
              </c:extLst>
            </c:dLbl>
            <c:dLbl>
              <c:idx val="7"/>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B604-4483-8E4A-41CEF4D6ECE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2010</c:v>
                </c:pt>
                <c:pt idx="1">
                  <c:v>2011</c:v>
                </c:pt>
                <c:pt idx="2">
                  <c:v>2012</c:v>
                </c:pt>
                <c:pt idx="3">
                  <c:v>2013</c:v>
                </c:pt>
                <c:pt idx="4">
                  <c:v>2014</c:v>
                </c:pt>
                <c:pt idx="5">
                  <c:v>2015</c:v>
                </c:pt>
                <c:pt idx="6">
                  <c:v>2016</c:v>
                </c:pt>
                <c:pt idx="7">
                  <c:v>2017</c:v>
                </c:pt>
                <c:pt idx="8">
                  <c:v>2018*</c:v>
                </c:pt>
              </c:strCache>
            </c:strRef>
          </c:cat>
          <c:val>
            <c:numRef>
              <c:f>Sheet1!$E$2:$E$10</c:f>
              <c:numCache>
                <c:formatCode>General</c:formatCode>
                <c:ptCount val="9"/>
                <c:pt idx="0">
                  <c:v>0</c:v>
                </c:pt>
                <c:pt idx="1">
                  <c:v>2</c:v>
                </c:pt>
                <c:pt idx="2">
                  <c:v>5</c:v>
                </c:pt>
                <c:pt idx="3">
                  <c:v>2</c:v>
                </c:pt>
                <c:pt idx="4">
                  <c:v>11</c:v>
                </c:pt>
                <c:pt idx="5">
                  <c:v>16</c:v>
                </c:pt>
                <c:pt idx="6">
                  <c:v>26</c:v>
                </c:pt>
                <c:pt idx="7">
                  <c:v>22</c:v>
                </c:pt>
                <c:pt idx="8">
                  <c:v>11</c:v>
                </c:pt>
              </c:numCache>
            </c:numRef>
          </c:val>
          <c:smooth val="0"/>
          <c:extLst>
            <c:ext xmlns:c16="http://schemas.microsoft.com/office/drawing/2014/chart" uri="{C3380CC4-5D6E-409C-BE32-E72D297353CC}">
              <c16:uniqueId val="{00000006-B604-4483-8E4A-41CEF4D6ECEC}"/>
            </c:ext>
          </c:extLst>
        </c:ser>
        <c:ser>
          <c:idx val="4"/>
          <c:order val="4"/>
          <c:tx>
            <c:strRef>
              <c:f>Sheet1!$F$1</c:f>
              <c:strCache>
                <c:ptCount val="1"/>
                <c:pt idx="0">
                  <c:v>Wakefield</c:v>
                </c:pt>
              </c:strCache>
            </c:strRef>
          </c:tx>
          <c:spPr>
            <a:ln w="28575" cap="rnd">
              <a:solidFill>
                <a:schemeClr val="accent5"/>
              </a:solidFill>
              <a:round/>
            </a:ln>
            <a:effectLst/>
          </c:spPr>
          <c:marker>
            <c:symbol val="none"/>
          </c:marker>
          <c:cat>
            <c:strRef>
              <c:f>Sheet1!$A$2:$A$10</c:f>
              <c:strCache>
                <c:ptCount val="9"/>
                <c:pt idx="0">
                  <c:v>2010</c:v>
                </c:pt>
                <c:pt idx="1">
                  <c:v>2011</c:v>
                </c:pt>
                <c:pt idx="2">
                  <c:v>2012</c:v>
                </c:pt>
                <c:pt idx="3">
                  <c:v>2013</c:v>
                </c:pt>
                <c:pt idx="4">
                  <c:v>2014</c:v>
                </c:pt>
                <c:pt idx="5">
                  <c:v>2015</c:v>
                </c:pt>
                <c:pt idx="6">
                  <c:v>2016</c:v>
                </c:pt>
                <c:pt idx="7">
                  <c:v>2017</c:v>
                </c:pt>
                <c:pt idx="8">
                  <c:v>2018*</c:v>
                </c:pt>
              </c:strCache>
            </c:strRef>
          </c:cat>
          <c:val>
            <c:numRef>
              <c:f>Sheet1!$F$2:$F$10</c:f>
              <c:numCache>
                <c:formatCode>General</c:formatCode>
                <c:ptCount val="9"/>
                <c:pt idx="0">
                  <c:v>32</c:v>
                </c:pt>
                <c:pt idx="1">
                  <c:v>18</c:v>
                </c:pt>
                <c:pt idx="2">
                  <c:v>13</c:v>
                </c:pt>
                <c:pt idx="3">
                  <c:v>12</c:v>
                </c:pt>
                <c:pt idx="4">
                  <c:v>21</c:v>
                </c:pt>
                <c:pt idx="5">
                  <c:v>27</c:v>
                </c:pt>
                <c:pt idx="6">
                  <c:v>82</c:v>
                </c:pt>
                <c:pt idx="7">
                  <c:v>45</c:v>
                </c:pt>
                <c:pt idx="8">
                  <c:v>77</c:v>
                </c:pt>
              </c:numCache>
            </c:numRef>
          </c:val>
          <c:smooth val="0"/>
          <c:extLst>
            <c:ext xmlns:c16="http://schemas.microsoft.com/office/drawing/2014/chart" uri="{C3380CC4-5D6E-409C-BE32-E72D297353CC}">
              <c16:uniqueId val="{00000007-B604-4483-8E4A-41CEF4D6ECEC}"/>
            </c:ext>
          </c:extLst>
        </c:ser>
        <c:dLbls>
          <c:showLegendKey val="0"/>
          <c:showVal val="0"/>
          <c:showCatName val="0"/>
          <c:showSerName val="0"/>
          <c:showPercent val="0"/>
          <c:showBubbleSize val="0"/>
        </c:dLbls>
        <c:smooth val="0"/>
        <c:axId val="449222688"/>
        <c:axId val="449221704"/>
      </c:lineChart>
      <c:catAx>
        <c:axId val="449222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221704"/>
        <c:crosses val="autoZero"/>
        <c:auto val="1"/>
        <c:lblAlgn val="ctr"/>
        <c:lblOffset val="100"/>
        <c:noMultiLvlLbl val="0"/>
      </c:catAx>
      <c:valAx>
        <c:axId val="449221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222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a:solidFill>
                  <a:sysClr val="windowText" lastClr="000000"/>
                </a:solidFill>
                <a:latin typeface="Arial" panose="020B0604020202020204" pitchFamily="34" charset="0"/>
                <a:cs typeface="Arial" panose="020B0604020202020204" pitchFamily="34" charset="0"/>
              </a:rPr>
              <a:t>Chart 7: Source of funding for clients starting counselling </a:t>
            </a:r>
          </a:p>
          <a:p>
            <a:pPr>
              <a:defRPr sz="1100">
                <a:solidFill>
                  <a:sysClr val="windowText" lastClr="000000"/>
                </a:solidFill>
                <a:latin typeface="Arial" panose="020B0604020202020204" pitchFamily="34" charset="0"/>
                <a:cs typeface="Arial" panose="020B0604020202020204" pitchFamily="34" charset="0"/>
              </a:defRPr>
            </a:pPr>
            <a:r>
              <a:rPr lang="en-US" sz="1100">
                <a:solidFill>
                  <a:sysClr val="windowText" lastClr="000000"/>
                </a:solidFill>
                <a:latin typeface="Arial" panose="020B0604020202020204" pitchFamily="34" charset="0"/>
                <a:cs typeface="Arial" panose="020B0604020202020204" pitchFamily="34" charset="0"/>
              </a:rPr>
              <a:t>2010-18</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tx>
            <c:strRef>
              <c:f>Sheet1!$B$1</c:f>
              <c:strCache>
                <c:ptCount val="1"/>
                <c:pt idx="0">
                  <c:v>Funded by</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389-4D17-9A9F-953820CFD9A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389-4D17-9A9F-953820CFD9A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389-4D17-9A9F-953820CFD9A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389-4D17-9A9F-953820CFD9A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389-4D17-9A9F-953820CFD9A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389-4D17-9A9F-953820CFD9A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Lottery</c:v>
                </c:pt>
                <c:pt idx="1">
                  <c:v>School</c:v>
                </c:pt>
                <c:pt idx="2">
                  <c:v>Children in Need</c:v>
                </c:pt>
                <c:pt idx="3">
                  <c:v>Co-op</c:v>
                </c:pt>
                <c:pt idx="4">
                  <c:v>Other</c:v>
                </c:pt>
                <c:pt idx="5">
                  <c:v>Parent</c:v>
                </c:pt>
              </c:strCache>
            </c:strRef>
          </c:cat>
          <c:val>
            <c:numRef>
              <c:f>Sheet1!$B$2:$B$7</c:f>
              <c:numCache>
                <c:formatCode>General</c:formatCode>
                <c:ptCount val="6"/>
                <c:pt idx="0">
                  <c:v>638</c:v>
                </c:pt>
                <c:pt idx="1">
                  <c:v>765</c:v>
                </c:pt>
                <c:pt idx="2">
                  <c:v>373</c:v>
                </c:pt>
                <c:pt idx="3">
                  <c:v>9</c:v>
                </c:pt>
                <c:pt idx="4">
                  <c:v>9</c:v>
                </c:pt>
                <c:pt idx="5">
                  <c:v>2</c:v>
                </c:pt>
              </c:numCache>
            </c:numRef>
          </c:val>
          <c:extLst>
            <c:ext xmlns:c16="http://schemas.microsoft.com/office/drawing/2014/chart" uri="{C3380CC4-5D6E-409C-BE32-E72D297353CC}">
              <c16:uniqueId val="{0000000C-9389-4D17-9A9F-953820CFD9A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solidFill>
                  <a:sysClr val="windowText" lastClr="000000"/>
                </a:solidFill>
                <a:latin typeface="Arial" panose="020B0604020202020204" pitchFamily="34" charset="0"/>
                <a:cs typeface="Arial" panose="020B0604020202020204" pitchFamily="34" charset="0"/>
              </a:rPr>
              <a:t>Chart 8: Comparison between % presenting problems in </a:t>
            </a:r>
          </a:p>
          <a:p>
            <a:pPr>
              <a:defRPr/>
            </a:pPr>
            <a:r>
              <a:rPr lang="en-GB" sz="1100">
                <a:solidFill>
                  <a:sysClr val="windowText" lastClr="000000"/>
                </a:solidFill>
                <a:latin typeface="Arial" panose="020B0604020202020204" pitchFamily="34" charset="0"/>
                <a:cs typeface="Arial" panose="020B0604020202020204" pitchFamily="34" charset="0"/>
              </a:rPr>
              <a:t>2014 (n=56)</a:t>
            </a:r>
            <a:r>
              <a:rPr lang="en-GB" sz="1100" baseline="0">
                <a:solidFill>
                  <a:sysClr val="windowText" lastClr="000000"/>
                </a:solidFill>
                <a:latin typeface="Arial" panose="020B0604020202020204" pitchFamily="34" charset="0"/>
                <a:cs typeface="Arial" panose="020B0604020202020204" pitchFamily="34" charset="0"/>
              </a:rPr>
              <a:t> and 2017 (n=109)</a:t>
            </a:r>
            <a:endParaRPr lang="en-GB" sz="110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ndard"/>
        <c:varyColors val="0"/>
        <c:ser>
          <c:idx val="0"/>
          <c:order val="0"/>
          <c:tx>
            <c:strRef>
              <c:f>Sheet1!$B$1</c:f>
              <c:strCache>
                <c:ptCount val="1"/>
                <c:pt idx="0">
                  <c:v>2014</c:v>
                </c:pt>
              </c:strCache>
            </c:strRef>
          </c:tx>
          <c:spPr>
            <a:solidFill>
              <a:schemeClr val="accent5">
                <a:lumMod val="60000"/>
                <a:lumOff val="40000"/>
              </a:schemeClr>
            </a:solidFill>
            <a:ln>
              <a:noFill/>
            </a:ln>
            <a:effectLst/>
          </c:spPr>
          <c:dLbls>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ellipse">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Sheet1!$A$2:$A$15</c:f>
              <c:strCache>
                <c:ptCount val="14"/>
                <c:pt idx="0">
                  <c:v>Anger</c:v>
                </c:pt>
                <c:pt idx="1">
                  <c:v>Anxiety</c:v>
                </c:pt>
                <c:pt idx="2">
                  <c:v>Behaviour</c:v>
                </c:pt>
                <c:pt idx="3">
                  <c:v>Bereavement</c:v>
                </c:pt>
                <c:pt idx="4">
                  <c:v>Bullying</c:v>
                </c:pt>
                <c:pt idx="5">
                  <c:v>Depression</c:v>
                </c:pt>
                <c:pt idx="6">
                  <c:v>Family</c:v>
                </c:pt>
                <c:pt idx="7">
                  <c:v>Health</c:v>
                </c:pt>
                <c:pt idx="8">
                  <c:v>Interpersonal</c:v>
                </c:pt>
                <c:pt idx="9">
                  <c:v>School</c:v>
                </c:pt>
                <c:pt idx="10">
                  <c:v>Self/Identity</c:v>
                </c:pt>
                <c:pt idx="11">
                  <c:v>Self-esteem</c:v>
                </c:pt>
                <c:pt idx="12">
                  <c:v>Self-harm</c:v>
                </c:pt>
                <c:pt idx="13">
                  <c:v>Trauma</c:v>
                </c:pt>
              </c:strCache>
            </c:strRef>
          </c:cat>
          <c:val>
            <c:numRef>
              <c:f>Sheet1!$B$2:$B$15</c:f>
              <c:numCache>
                <c:formatCode>General</c:formatCode>
                <c:ptCount val="14"/>
                <c:pt idx="0">
                  <c:v>42</c:v>
                </c:pt>
                <c:pt idx="1">
                  <c:v>34</c:v>
                </c:pt>
                <c:pt idx="2">
                  <c:v>38</c:v>
                </c:pt>
                <c:pt idx="3">
                  <c:v>29</c:v>
                </c:pt>
                <c:pt idx="4">
                  <c:v>14</c:v>
                </c:pt>
                <c:pt idx="5">
                  <c:v>13</c:v>
                </c:pt>
                <c:pt idx="6">
                  <c:v>39</c:v>
                </c:pt>
                <c:pt idx="7">
                  <c:v>9</c:v>
                </c:pt>
                <c:pt idx="8">
                  <c:v>25</c:v>
                </c:pt>
                <c:pt idx="9">
                  <c:v>20</c:v>
                </c:pt>
                <c:pt idx="10">
                  <c:v>20</c:v>
                </c:pt>
                <c:pt idx="11">
                  <c:v>29</c:v>
                </c:pt>
                <c:pt idx="12">
                  <c:v>14</c:v>
                </c:pt>
                <c:pt idx="13">
                  <c:v>14</c:v>
                </c:pt>
              </c:numCache>
            </c:numRef>
          </c:val>
          <c:extLst>
            <c:ext xmlns:c16="http://schemas.microsoft.com/office/drawing/2014/chart" uri="{C3380CC4-5D6E-409C-BE32-E72D297353CC}">
              <c16:uniqueId val="{00000000-E9CC-4E24-9BE6-264B1B2E976D}"/>
            </c:ext>
          </c:extLst>
        </c:ser>
        <c:dLbls>
          <c:showLegendKey val="0"/>
          <c:showVal val="0"/>
          <c:showCatName val="0"/>
          <c:showSerName val="0"/>
          <c:showPercent val="0"/>
          <c:showBubbleSize val="0"/>
        </c:dLbls>
        <c:axId val="409333336"/>
        <c:axId val="409333008"/>
      </c:areaChart>
      <c:barChart>
        <c:barDir val="col"/>
        <c:grouping val="clustered"/>
        <c:varyColors val="0"/>
        <c:ser>
          <c:idx val="1"/>
          <c:order val="1"/>
          <c:tx>
            <c:strRef>
              <c:f>Sheet1!$C$1</c:f>
              <c:strCache>
                <c:ptCount val="1"/>
                <c:pt idx="0">
                  <c:v>2017</c:v>
                </c:pt>
              </c:strCache>
            </c:strRef>
          </c:tx>
          <c:spPr>
            <a:solidFill>
              <a:schemeClr val="accent5">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Sheet1!$A$2:$A$15</c:f>
              <c:strCache>
                <c:ptCount val="14"/>
                <c:pt idx="0">
                  <c:v>Anger</c:v>
                </c:pt>
                <c:pt idx="1">
                  <c:v>Anxiety</c:v>
                </c:pt>
                <c:pt idx="2">
                  <c:v>Behaviour</c:v>
                </c:pt>
                <c:pt idx="3">
                  <c:v>Bereavement</c:v>
                </c:pt>
                <c:pt idx="4">
                  <c:v>Bullying</c:v>
                </c:pt>
                <c:pt idx="5">
                  <c:v>Depression</c:v>
                </c:pt>
                <c:pt idx="6">
                  <c:v>Family</c:v>
                </c:pt>
                <c:pt idx="7">
                  <c:v>Health</c:v>
                </c:pt>
                <c:pt idx="8">
                  <c:v>Interpersonal</c:v>
                </c:pt>
                <c:pt idx="9">
                  <c:v>School</c:v>
                </c:pt>
                <c:pt idx="10">
                  <c:v>Self/Identity</c:v>
                </c:pt>
                <c:pt idx="11">
                  <c:v>Self-esteem</c:v>
                </c:pt>
                <c:pt idx="12">
                  <c:v>Self-harm</c:v>
                </c:pt>
                <c:pt idx="13">
                  <c:v>Trauma</c:v>
                </c:pt>
              </c:strCache>
            </c:strRef>
          </c:cat>
          <c:val>
            <c:numRef>
              <c:f>Sheet1!$C$2:$C$15</c:f>
              <c:numCache>
                <c:formatCode>General</c:formatCode>
                <c:ptCount val="14"/>
                <c:pt idx="0">
                  <c:v>45</c:v>
                </c:pt>
                <c:pt idx="1">
                  <c:v>61</c:v>
                </c:pt>
                <c:pt idx="2">
                  <c:v>38</c:v>
                </c:pt>
                <c:pt idx="3">
                  <c:v>26</c:v>
                </c:pt>
                <c:pt idx="4">
                  <c:v>19</c:v>
                </c:pt>
                <c:pt idx="5">
                  <c:v>26</c:v>
                </c:pt>
                <c:pt idx="6">
                  <c:v>59</c:v>
                </c:pt>
                <c:pt idx="7">
                  <c:v>10</c:v>
                </c:pt>
                <c:pt idx="8">
                  <c:v>35</c:v>
                </c:pt>
                <c:pt idx="9">
                  <c:v>39</c:v>
                </c:pt>
                <c:pt idx="10">
                  <c:v>37</c:v>
                </c:pt>
                <c:pt idx="11">
                  <c:v>38</c:v>
                </c:pt>
                <c:pt idx="12">
                  <c:v>6</c:v>
                </c:pt>
                <c:pt idx="13">
                  <c:v>20</c:v>
                </c:pt>
              </c:numCache>
            </c:numRef>
          </c:val>
          <c:extLst>
            <c:ext xmlns:c16="http://schemas.microsoft.com/office/drawing/2014/chart" uri="{C3380CC4-5D6E-409C-BE32-E72D297353CC}">
              <c16:uniqueId val="{00000001-E9CC-4E24-9BE6-264B1B2E976D}"/>
            </c:ext>
          </c:extLst>
        </c:ser>
        <c:dLbls>
          <c:showLegendKey val="0"/>
          <c:showVal val="0"/>
          <c:showCatName val="0"/>
          <c:showSerName val="0"/>
          <c:showPercent val="0"/>
          <c:showBubbleSize val="0"/>
        </c:dLbls>
        <c:gapWidth val="150"/>
        <c:axId val="409333336"/>
        <c:axId val="409333008"/>
      </c:barChart>
      <c:valAx>
        <c:axId val="409333008"/>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333336"/>
        <c:crosses val="max"/>
        <c:crossBetween val="between"/>
      </c:valAx>
      <c:catAx>
        <c:axId val="409333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33300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solidFill>
                  <a:sysClr val="windowText" lastClr="000000"/>
                </a:solidFill>
                <a:latin typeface="Arial" panose="020B0604020202020204" pitchFamily="34" charset="0"/>
                <a:cs typeface="Arial" panose="020B0604020202020204" pitchFamily="34" charset="0"/>
              </a:rPr>
              <a:t>Chart 9: Average no. of days from referral to first date offered and to first session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Offer</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c:v>
                </c:pt>
                <c:pt idx="1">
                  <c:v>2015</c:v>
                </c:pt>
                <c:pt idx="2">
                  <c:v>2016</c:v>
                </c:pt>
                <c:pt idx="3">
                  <c:v>2017</c:v>
                </c:pt>
                <c:pt idx="4">
                  <c:v>2018*</c:v>
                </c:pt>
              </c:strCache>
            </c:strRef>
          </c:cat>
          <c:val>
            <c:numRef>
              <c:f>Sheet1!$B$2:$B$6</c:f>
              <c:numCache>
                <c:formatCode>General</c:formatCode>
                <c:ptCount val="5"/>
                <c:pt idx="0">
                  <c:v>18.399999999999999</c:v>
                </c:pt>
                <c:pt idx="1">
                  <c:v>16.899999999999999</c:v>
                </c:pt>
                <c:pt idx="2">
                  <c:v>30.1</c:v>
                </c:pt>
                <c:pt idx="3">
                  <c:v>29.3</c:v>
                </c:pt>
                <c:pt idx="4">
                  <c:v>28.2</c:v>
                </c:pt>
              </c:numCache>
            </c:numRef>
          </c:val>
          <c:smooth val="0"/>
          <c:extLst>
            <c:ext xmlns:c16="http://schemas.microsoft.com/office/drawing/2014/chart" uri="{C3380CC4-5D6E-409C-BE32-E72D297353CC}">
              <c16:uniqueId val="{00000000-C9E6-4985-8319-039C2F0DD6C8}"/>
            </c:ext>
          </c:extLst>
        </c:ser>
        <c:ser>
          <c:idx val="1"/>
          <c:order val="1"/>
          <c:tx>
            <c:strRef>
              <c:f>Sheet1!$C$1</c:f>
              <c:strCache>
                <c:ptCount val="1"/>
                <c:pt idx="0">
                  <c:v>Start</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c:v>
                </c:pt>
                <c:pt idx="1">
                  <c:v>2015</c:v>
                </c:pt>
                <c:pt idx="2">
                  <c:v>2016</c:v>
                </c:pt>
                <c:pt idx="3">
                  <c:v>2017</c:v>
                </c:pt>
                <c:pt idx="4">
                  <c:v>2018*</c:v>
                </c:pt>
              </c:strCache>
            </c:strRef>
          </c:cat>
          <c:val>
            <c:numRef>
              <c:f>Sheet1!$C$2:$C$6</c:f>
              <c:numCache>
                <c:formatCode>General</c:formatCode>
                <c:ptCount val="5"/>
                <c:pt idx="0">
                  <c:v>26.4</c:v>
                </c:pt>
                <c:pt idx="1">
                  <c:v>25.6</c:v>
                </c:pt>
                <c:pt idx="2">
                  <c:v>44.8</c:v>
                </c:pt>
                <c:pt idx="3">
                  <c:v>38.5</c:v>
                </c:pt>
                <c:pt idx="4">
                  <c:v>48.3</c:v>
                </c:pt>
              </c:numCache>
            </c:numRef>
          </c:val>
          <c:smooth val="0"/>
          <c:extLst>
            <c:ext xmlns:c16="http://schemas.microsoft.com/office/drawing/2014/chart" uri="{C3380CC4-5D6E-409C-BE32-E72D297353CC}">
              <c16:uniqueId val="{00000003-C9E6-4985-8319-039C2F0DD6C8}"/>
            </c:ext>
          </c:extLst>
        </c:ser>
        <c:dLbls>
          <c:showLegendKey val="0"/>
          <c:showVal val="0"/>
          <c:showCatName val="0"/>
          <c:showSerName val="0"/>
          <c:showPercent val="0"/>
          <c:showBubbleSize val="0"/>
        </c:dLbls>
        <c:smooth val="0"/>
        <c:axId val="409352360"/>
        <c:axId val="409359904"/>
      </c:lineChart>
      <c:catAx>
        <c:axId val="409352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359904"/>
        <c:crosses val="autoZero"/>
        <c:auto val="1"/>
        <c:lblAlgn val="ctr"/>
        <c:lblOffset val="100"/>
        <c:noMultiLvlLbl val="0"/>
      </c:catAx>
      <c:valAx>
        <c:axId val="409359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352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withinLinearReversed" id="22">
  <a:schemeClr val="accent2"/>
</cs:colorStyle>
</file>

<file path=word/charts/colors14.xml><?xml version="1.0" encoding="utf-8"?>
<cs:colorStyle xmlns:cs="http://schemas.microsoft.com/office/drawing/2012/chartStyle" xmlns:a="http://schemas.openxmlformats.org/drawingml/2006/main" meth="withinLinear" id="19">
  <a:schemeClr val="accent6"/>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960</TotalTime>
  <Pages>12</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Brown</dc:creator>
  <cp:keywords/>
  <dc:description/>
  <cp:lastModifiedBy>Imogen Brown</cp:lastModifiedBy>
  <cp:revision>21</cp:revision>
  <cp:lastPrinted>2018-10-07T16:38:00Z</cp:lastPrinted>
  <dcterms:created xsi:type="dcterms:W3CDTF">2018-10-06T10:04:00Z</dcterms:created>
  <dcterms:modified xsi:type="dcterms:W3CDTF">2018-10-29T16:11:00Z</dcterms:modified>
</cp:coreProperties>
</file>